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14                                   </w:t>
      </w:r>
      <w:bookmarkStart w:id="3" w:name="_GoBack"/>
      <w:bookmarkEnd w:id="3"/>
      <w:r>
        <w:rPr>
          <w:rFonts w:hint="eastAsia" w:ascii="Arial" w:hAnsi="Arial" w:cs="Arial"/>
          <w:b/>
          <w:sz w:val="24"/>
          <w:szCs w:val="24"/>
          <w:lang w:val="en-US" w:eastAsia="zh-CN"/>
        </w:rPr>
        <w:t>R4-2501509</w:t>
      </w:r>
    </w:p>
    <w:bookmarkEnd w:id="2"/>
    <w:p>
      <w:pPr>
        <w:widowControl w:val="0"/>
        <w:tabs>
          <w:tab w:val="right" w:pos="10440"/>
          <w:tab w:val="right" w:pos="13323"/>
        </w:tabs>
        <w:spacing w:beforeLines="0" w:afterLines="0" w:line="240" w:lineRule="auto"/>
        <w:jc w:val="both"/>
        <w:outlineLvl w:val="0"/>
        <w:rPr>
          <w:rFonts w:ascii="Arial" w:hAnsi="Arial" w:eastAsia="宋体" w:cs="Times New Roman"/>
          <w:b/>
          <w:kern w:val="2"/>
          <w:sz w:val="24"/>
          <w:highlight w:val="none"/>
          <w:lang w:val="pt-BR" w:eastAsia="zh-CN" w:bidi="ar-SA"/>
        </w:rPr>
      </w:pPr>
      <w:r>
        <w:rPr>
          <w:rFonts w:hint="eastAsia" w:ascii="Arial" w:hAnsi="Arial" w:eastAsia="宋体" w:cs="Arial"/>
          <w:b/>
          <w:kern w:val="2"/>
          <w:sz w:val="24"/>
          <w:szCs w:val="24"/>
          <w:lang w:val="en-US" w:eastAsia="zh-CN" w:bidi="ar-SA"/>
        </w:rPr>
        <w:t>Athens, GR, 17th – 21st February, 2025</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testability and interoperability issues for AI-CSI</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7.20.3</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rFonts w:hint="eastAsia"/>
          <w:szCs w:val="22"/>
          <w:lang w:val="en-US" w:eastAsia="zh-CN"/>
        </w:rPr>
      </w:pPr>
      <w:r>
        <w:rPr>
          <w:b/>
          <w:kern w:val="0"/>
          <w:sz w:val="24"/>
          <w:szCs w:val="24"/>
        </w:rPr>
        <w:t>1 Introduction</w:t>
      </w:r>
    </w:p>
    <w:p>
      <w:pPr>
        <w:spacing w:before="120" w:after="120"/>
        <w:rPr>
          <w:rFonts w:hint="default"/>
          <w:szCs w:val="22"/>
          <w:lang w:val="en-US" w:eastAsia="zh-CN"/>
        </w:rPr>
      </w:pPr>
      <w:r>
        <w:rPr>
          <w:rFonts w:hint="default"/>
          <w:szCs w:val="22"/>
          <w:lang w:val="en-US" w:eastAsia="zh-CN"/>
        </w:rPr>
        <w:t xml:space="preserve">In RAN #102 meeting, the WID on Artificial Intelligence (AI)/Machine Learning (ML) for NR Air Interface was approved [1]. The objectives for RAN4 are </w:t>
      </w:r>
      <w:r>
        <w:rPr>
          <w:rFonts w:hint="eastAsia"/>
          <w:szCs w:val="22"/>
          <w:lang w:val="en-US" w:eastAsia="zh-CN"/>
        </w:rPr>
        <w:t>shown in following table</w:t>
      </w:r>
      <w:r>
        <w:rPr>
          <w:rFonts w:hint="default"/>
          <w:szCs w:val="22"/>
          <w:lang w:val="en-US" w:eastAsia="zh-CN"/>
        </w:rPr>
        <w:t>.</w:t>
      </w:r>
    </w:p>
    <w:tbl>
      <w:tblPr>
        <w:tblStyle w:val="2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930" w:type="dxa"/>
            <w:noWrap w:val="0"/>
            <w:vAlign w:val="top"/>
          </w:tcPr>
          <w:p>
            <w:pPr>
              <w:keepNext w:val="0"/>
              <w:keepLines w:val="0"/>
              <w:widowControl/>
              <w:numPr>
                <w:ilvl w:val="0"/>
                <w:numId w:val="7"/>
              </w:numPr>
              <w:suppressLineNumbers w:val="0"/>
              <w:spacing w:before="0" w:beforeAutospacing="0" w:after="0" w:afterAutospacing="0"/>
              <w:ind w:left="300" w:leftChars="0" w:right="0"/>
              <w:rPr>
                <w:rFonts w:hint="default" w:ascii="Times New Roman" w:hAnsi="Times New Roman" w:cs="Times New Roman"/>
                <w:bCs/>
                <w:sz w:val="20"/>
                <w:szCs w:val="20"/>
              </w:rPr>
            </w:pPr>
            <w:r>
              <w:rPr>
                <w:rFonts w:hint="default" w:ascii="Times New Roman" w:hAnsi="Times New Roman" w:cs="Times New Roman"/>
                <w:bCs/>
                <w:sz w:val="20"/>
                <w:szCs w:val="20"/>
              </w:rPr>
              <w:t xml:space="preserve">Testability and interoperability [RAN4]: </w:t>
            </w:r>
          </w:p>
          <w:p>
            <w:pPr>
              <w:keepNext w:val="0"/>
              <w:keepLines w:val="0"/>
              <w:widowControl/>
              <w:numPr>
                <w:ilvl w:val="1"/>
                <w:numId w:val="7"/>
              </w:numPr>
              <w:suppressLineNumbers w:val="0"/>
              <w:spacing w:before="0" w:beforeAutospacing="0" w:after="0" w:afterAutospacing="0"/>
              <w:ind w:left="1020" w:leftChars="0" w:right="0"/>
              <w:rPr>
                <w:rFonts w:hint="default" w:ascii="Times New Roman" w:hAnsi="Times New Roman" w:cs="Times New Roman"/>
                <w:bCs/>
                <w:sz w:val="20"/>
                <w:szCs w:val="20"/>
              </w:rPr>
            </w:pPr>
            <w:r>
              <w:rPr>
                <w:rFonts w:hint="default" w:ascii="Times New Roman" w:hAnsi="Times New Roman" w:cs="Times New Roman"/>
                <w:bCs/>
                <w:sz w:val="20"/>
                <w:szCs w:val="20"/>
              </w:rPr>
              <w:t xml:space="preserve">Finalize the testing framework and procedure for one-sided models and further analyse the various testing options for two-sided models, in collaboration with RAN1, and including at least: </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Relation to legacy requirements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Performance monitoring and LCM aspects considering use-case specifics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Generalization aspects </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Static/non-static scenarios/conditions and propagation conditions for testing (e.g., CDL, field data, etc.)</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UE processing capability and limitations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cs="Times New Roman"/>
                <w:bCs/>
                <w:sz w:val="20"/>
                <w:szCs w:val="20"/>
              </w:rPr>
            </w:pPr>
            <w:r>
              <w:rPr>
                <w:rFonts w:hint="default" w:ascii="Times New Roman" w:hAnsi="Times New Roman" w:eastAsia="Batang" w:cs="Times New Roman"/>
                <w:sz w:val="20"/>
                <w:szCs w:val="20"/>
              </w:rPr>
              <w:t>Post-deployment validation due to model change/drift</w:t>
            </w:r>
          </w:p>
        </w:tc>
      </w:tr>
    </w:tbl>
    <w:p>
      <w:pPr>
        <w:spacing w:before="120" w:after="120"/>
        <w:rPr>
          <w:rFonts w:hint="default"/>
          <w:szCs w:val="22"/>
          <w:lang w:val="en-US" w:eastAsia="zh-CN"/>
        </w:rPr>
      </w:pPr>
      <w:r>
        <w:rPr>
          <w:rFonts w:hint="eastAsia"/>
          <w:szCs w:val="22"/>
          <w:lang w:val="en-US" w:eastAsia="zh-CN"/>
        </w:rPr>
        <w:t>During the last meeting, some conclusions has been reached for CSI compression and CSI prediction[2]. In the following section, we will provide the detailed discussions for CSI compression and prediction.</w:t>
      </w:r>
    </w:p>
    <w:p>
      <w:pPr>
        <w:widowControl w:val="0"/>
        <w:pBdr>
          <w:top w:val="single" w:color="auto" w:sz="12" w:space="3"/>
        </w:pBdr>
        <w:spacing w:beforeLines="0" w:afterLines="0"/>
        <w:jc w:val="left"/>
        <w:outlineLvl w:val="0"/>
        <w:rPr>
          <w:rFonts w:hint="eastAsia"/>
          <w:b/>
          <w:kern w:val="0"/>
          <w:sz w:val="24"/>
          <w:szCs w:val="24"/>
          <w:lang w:val="en-US" w:eastAsia="zh-CN"/>
        </w:rPr>
      </w:pPr>
      <w:r>
        <w:rPr>
          <w:rFonts w:hint="eastAsia"/>
          <w:b/>
          <w:kern w:val="0"/>
          <w:sz w:val="24"/>
          <w:szCs w:val="24"/>
        </w:rPr>
        <w:t xml:space="preserve">2 </w:t>
      </w:r>
      <w:r>
        <w:rPr>
          <w:b/>
          <w:kern w:val="0"/>
          <w:sz w:val="24"/>
          <w:szCs w:val="24"/>
        </w:rPr>
        <w:t>Discussion</w:t>
      </w:r>
    </w:p>
    <w:p>
      <w:pPr>
        <w:rPr>
          <w:rFonts w:hint="default" w:eastAsia="游明朝"/>
          <w:b/>
          <w:u w:val="single"/>
          <w:lang w:val="en-US" w:eastAsia="zh-CN"/>
        </w:rPr>
      </w:pPr>
      <w:r>
        <w:rPr>
          <w:rFonts w:hint="eastAsia" w:eastAsia="Yu Mincho"/>
          <w:b/>
          <w:u w:val="single"/>
          <w:lang w:eastAsia="ja-JP"/>
        </w:rPr>
        <w:t>Option 3 next step - decoder(s) selection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76" w:type="dxa"/>
          </w:tcPr>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eastAsia" w:eastAsia="宋体"/>
                <w:sz w:val="21"/>
                <w:szCs w:val="21"/>
                <w:lang w:val="en-US" w:eastAsia="zh-CN"/>
              </w:rPr>
            </w:pPr>
            <w:r>
              <w:rPr>
                <w:rFonts w:hint="eastAsia" w:eastAsia="游明朝"/>
                <w:sz w:val="21"/>
                <w:szCs w:val="21"/>
                <w:lang w:eastAsia="ja-JP"/>
              </w:rPr>
              <w:t>Agreement</w:t>
            </w:r>
            <w:r>
              <w:rPr>
                <w:rFonts w:hint="eastAsia" w:eastAsia="宋体"/>
                <w:sz w:val="21"/>
                <w:szCs w:val="21"/>
                <w:lang w:val="en-US" w:eastAsia="zh-CN"/>
              </w:rPr>
              <w:t>:</w:t>
            </w:r>
          </w:p>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eastAsia="Yu Mincho"/>
                <w:iCs/>
                <w:sz w:val="21"/>
                <w:szCs w:val="21"/>
                <w:lang w:eastAsia="ja-JP"/>
              </w:rPr>
            </w:pPr>
            <w:r>
              <w:rPr>
                <w:rFonts w:hint="eastAsia" w:eastAsia="Yu Mincho"/>
                <w:iCs/>
                <w:sz w:val="21"/>
                <w:szCs w:val="21"/>
                <w:lang w:eastAsia="ja-JP"/>
              </w:rPr>
              <w:t xml:space="preserve">choose the decoders with </w:t>
            </w:r>
            <w:r>
              <w:rPr>
                <w:rFonts w:hint="default" w:eastAsia="Yu Mincho"/>
                <w:iCs/>
                <w:sz w:val="21"/>
                <w:szCs w:val="21"/>
                <w:lang w:eastAsia="ja-JP"/>
              </w:rPr>
              <w:t>Low, medium, high SGCS</w:t>
            </w:r>
            <w:r>
              <w:rPr>
                <w:rFonts w:hint="eastAsia" w:eastAsia="Yu Mincho"/>
                <w:iCs/>
                <w:sz w:val="21"/>
                <w:szCs w:val="21"/>
                <w:lang w:eastAsia="ja-JP"/>
              </w:rPr>
              <w:t xml:space="preserve"> among the decoders submitted by companies</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Yu Mincho"/>
                <w:sz w:val="21"/>
                <w:szCs w:val="21"/>
                <w:lang w:eastAsia="ja-JP"/>
              </w:rPr>
            </w:pPr>
            <w:r>
              <w:rPr>
                <w:rFonts w:hint="eastAsia" w:eastAsia="Yu Mincho"/>
                <w:sz w:val="21"/>
                <w:szCs w:val="21"/>
                <w:lang w:eastAsia="ja-JP"/>
              </w:rPr>
              <w:t xml:space="preserve">Continue the </w:t>
            </w:r>
            <w:r>
              <w:rPr>
                <w:rFonts w:hint="default" w:eastAsia="Yu Mincho"/>
                <w:sz w:val="21"/>
                <w:szCs w:val="21"/>
                <w:lang w:eastAsia="ja-JP"/>
              </w:rPr>
              <w:t>feasibility</w:t>
            </w:r>
            <w:r>
              <w:rPr>
                <w:rFonts w:hint="eastAsia" w:eastAsia="Yu Mincho"/>
                <w:sz w:val="21"/>
                <w:szCs w:val="21"/>
                <w:lang w:eastAsia="ja-JP"/>
              </w:rPr>
              <w:t xml:space="preserve"> study on the two tracks below:</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Yu Mincho"/>
                <w:iCs/>
                <w:sz w:val="21"/>
                <w:szCs w:val="21"/>
                <w:lang w:eastAsia="ja-JP"/>
              </w:rPr>
            </w:pPr>
            <w:r>
              <w:rPr>
                <w:rFonts w:hint="default" w:eastAsia="Yu Mincho"/>
                <w:iCs/>
                <w:sz w:val="21"/>
                <w:szCs w:val="21"/>
                <w:lang w:eastAsia="ja-JP"/>
              </w:rPr>
              <w:t>Track 1: Select 3 decoders at RAN4#113. Companies train own encoders (with own Eigenvector dataset) and check performance against decoders (with at least own test dataset)</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contextualSpacing/>
              <w:textAlignment w:val="baseline"/>
              <w:rPr>
                <w:rFonts w:hint="default" w:eastAsia="Yu Mincho"/>
                <w:iCs/>
                <w:sz w:val="21"/>
                <w:szCs w:val="21"/>
                <w:lang w:eastAsia="ja-JP"/>
              </w:rPr>
            </w:pPr>
            <w:r>
              <w:rPr>
                <w:rFonts w:hint="default" w:eastAsia="Yu Mincho"/>
                <w:iCs/>
                <w:sz w:val="21"/>
                <w:szCs w:val="21"/>
                <w:lang w:eastAsia="ja-JP"/>
              </w:rPr>
              <w:t>The 3 decoders are selected based on low, medium, high mean SGCS out of available decoders</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contextualSpacing/>
              <w:textAlignment w:val="baseline"/>
              <w:rPr>
                <w:rFonts w:hint="default" w:eastAsia="Yu Mincho"/>
                <w:iCs/>
                <w:sz w:val="21"/>
                <w:szCs w:val="21"/>
                <w:lang w:eastAsia="ja-JP"/>
              </w:rPr>
            </w:pPr>
            <w:r>
              <w:rPr>
                <w:rFonts w:hint="default" w:eastAsia="Yu Mincho"/>
                <w:iCs/>
                <w:sz w:val="21"/>
                <w:szCs w:val="21"/>
                <w:lang w:eastAsia="ja-JP"/>
              </w:rPr>
              <w:t>At least an encoder with the agreed model structure should be considered when making own encoder. Optionally companies can try own encoder with their preferred structure. Companies should report the structure if different.</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Yu Mincho"/>
                <w:iCs/>
                <w:sz w:val="21"/>
                <w:szCs w:val="21"/>
                <w:lang w:eastAsia="ja-JP"/>
              </w:rPr>
            </w:pPr>
            <w:r>
              <w:rPr>
                <w:rFonts w:hint="default" w:eastAsia="Yu Mincho"/>
                <w:iCs/>
                <w:sz w:val="21"/>
                <w:szCs w:val="21"/>
                <w:lang w:eastAsia="ja-JP"/>
              </w:rPr>
              <w:t>Track 2: Create a mixed dataset at RAN4#113. By RAN4#114, companies train decoders based on the mixed dataset. At RAN4#114, one or more decoder selected and after RAN4#114, companies develop encoders and check encoder performance with own dataset checked against decoder(s).</w:t>
            </w:r>
          </w:p>
          <w:p>
            <w:pPr>
              <w:keepNext w:val="0"/>
              <w:keepLines w:val="0"/>
              <w:widowControl/>
              <w:numPr>
                <w:ilvl w:val="0"/>
                <w:numId w:val="9"/>
              </w:numPr>
              <w:suppressLineNumbers w:val="0"/>
              <w:overflowPunct w:val="0"/>
              <w:autoSpaceDE w:val="0"/>
              <w:autoSpaceDN w:val="0"/>
              <w:adjustRightInd w:val="0"/>
              <w:spacing w:before="0" w:beforeAutospacing="0" w:after="120" w:afterAutospacing="0"/>
              <w:ind w:right="0"/>
              <w:textAlignment w:val="baseline"/>
              <w:rPr>
                <w:rFonts w:hint="eastAsia" w:eastAsiaTheme="minorEastAsia"/>
                <w:b/>
                <w:sz w:val="21"/>
                <w:szCs w:val="21"/>
                <w:u w:val="single"/>
                <w:vertAlign w:val="baseline"/>
                <w:lang w:val="en-US" w:eastAsia="ko-KR"/>
              </w:rPr>
            </w:pPr>
            <w:r>
              <w:rPr>
                <w:rFonts w:hint="default" w:eastAsia="Yu Mincho"/>
                <w:iCs/>
                <w:sz w:val="21"/>
                <w:szCs w:val="21"/>
                <w:lang w:eastAsia="ja-JP"/>
              </w:rPr>
              <w:t>At least an encoder with the agreed model structure should be considered when making own encoder. Optionally companies can try own encoder with their preferred structure. Companies should report the structure if different.</w:t>
            </w:r>
          </w:p>
        </w:tc>
      </w:tr>
    </w:tbl>
    <w:p>
      <w:pPr>
        <w:jc w:val="both"/>
        <w:rPr>
          <w:rFonts w:hint="eastAsia" w:cs="Times New Roman"/>
          <w:b w:val="0"/>
          <w:bCs/>
          <w:szCs w:val="20"/>
          <w:u w:val="none"/>
          <w:lang w:val="en-US" w:eastAsia="zh-CN"/>
        </w:rPr>
      </w:pPr>
      <w:r>
        <w:rPr>
          <w:rFonts w:hint="eastAsia" w:cs="Times New Roman"/>
          <w:b w:val="0"/>
          <w:bCs/>
          <w:szCs w:val="20"/>
          <w:u w:val="none"/>
          <w:lang w:val="en-US" w:eastAsia="zh-CN"/>
        </w:rPr>
        <w:t>At the last meeting, RAN4 discussed how to choose the decoders and that agreed Track1 and Track 2 should select decoders based on company</w:t>
      </w:r>
      <w:r>
        <w:rPr>
          <w:rFonts w:hint="default" w:cs="Times New Roman"/>
          <w:b w:val="0"/>
          <w:bCs/>
          <w:szCs w:val="20"/>
          <w:u w:val="none"/>
          <w:lang w:val="en-US" w:eastAsia="zh-CN"/>
        </w:rPr>
        <w:t>’</w:t>
      </w:r>
      <w:r>
        <w:rPr>
          <w:rFonts w:hint="eastAsia" w:cs="Times New Roman"/>
          <w:b w:val="0"/>
          <w:bCs/>
          <w:szCs w:val="20"/>
          <w:u w:val="none"/>
          <w:lang w:val="en-US" w:eastAsia="zh-CN"/>
        </w:rPr>
        <w:t>s results from the RAN4 #113 meeting.</w:t>
      </w:r>
    </w:p>
    <w:p>
      <w:pPr>
        <w:jc w:val="both"/>
        <w:rPr>
          <w:rFonts w:hint="default" w:cs="Times New Roman"/>
          <w:b w:val="0"/>
          <w:bCs/>
          <w:szCs w:val="20"/>
          <w:u w:val="none"/>
          <w:lang w:val="en-US" w:eastAsia="zh-CN"/>
        </w:rPr>
      </w:pPr>
      <w:r>
        <w:rPr>
          <w:rFonts w:hint="eastAsia" w:cs="Times New Roman"/>
          <w:b w:val="0"/>
          <w:bCs/>
          <w:szCs w:val="20"/>
          <w:u w:val="none"/>
          <w:lang w:val="en-US" w:eastAsia="zh-CN"/>
        </w:rPr>
        <w:t>For Track 1, as illustrated in above, select 3 decoders based on low, medium, high means SGCS out of available decoders. According to the 113 meeting results summary, we select 3 decoders from CATT, Samsung and HW with low, medium, and high SGCS. Also, we still chose decoders from other companies to study the feasibility of Track 1. In our simulation, we followed the conclusions reached prior to RAN4, utilizing these decoders for the training of our encoder; meanwhile, the encoder structure still follows a CNN framework, which has been agreed in RAN4 previous meeting. In additional, our training data originates from system simulations and remains consistent with the previous simulation assumptions. Also, quantization is not considered in our training process. The final results are as shown in following Table 1.</w:t>
      </w:r>
    </w:p>
    <w:p>
      <w:pPr>
        <w:jc w:val="center"/>
        <w:rPr>
          <w:rFonts w:hint="default" w:cs="Times New Roman"/>
          <w:b w:val="0"/>
          <w:bCs/>
          <w:szCs w:val="20"/>
          <w:u w:val="none"/>
          <w:lang w:val="en-US" w:eastAsia="zh-CN"/>
        </w:rPr>
      </w:pPr>
      <w:r>
        <w:rPr>
          <w:rFonts w:hint="eastAsia" w:cs="Times New Roman"/>
          <w:b w:val="0"/>
          <w:bCs/>
          <w:szCs w:val="20"/>
          <w:u w:val="none"/>
          <w:lang w:val="en-US" w:eastAsia="zh-CN"/>
        </w:rPr>
        <w:t>Table 1. Simulation results for Track 1 of Option3</w:t>
      </w:r>
    </w:p>
    <w:tbl>
      <w:tblPr>
        <w:tblStyle w:val="22"/>
        <w:tblW w:w="8407" w:type="dxa"/>
        <w:jc w:val="center"/>
        <w:tblLayout w:type="fixed"/>
        <w:tblCellMar>
          <w:top w:w="0" w:type="dxa"/>
          <w:left w:w="108" w:type="dxa"/>
          <w:bottom w:w="0" w:type="dxa"/>
          <w:right w:w="108" w:type="dxa"/>
        </w:tblCellMar>
      </w:tblPr>
      <w:tblGrid>
        <w:gridCol w:w="1168"/>
        <w:gridCol w:w="900"/>
        <w:gridCol w:w="1240"/>
        <w:gridCol w:w="1230"/>
        <w:gridCol w:w="1173"/>
        <w:gridCol w:w="1348"/>
        <w:gridCol w:w="1348"/>
      </w:tblGrid>
      <w:tr>
        <w:tblPrEx>
          <w:tblCellMar>
            <w:top w:w="0" w:type="dxa"/>
            <w:left w:w="108" w:type="dxa"/>
            <w:bottom w:w="0" w:type="dxa"/>
            <w:right w:w="108" w:type="dxa"/>
          </w:tblCellMar>
        </w:tblPrEx>
        <w:trPr>
          <w:trHeight w:val="580" w:hRule="atLeast"/>
          <w:jc w:val="center"/>
        </w:trPr>
        <w:tc>
          <w:tcPr>
            <w:tcW w:w="2068"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eastAsia" w:eastAsia="等线"/>
                <w:color w:val="000000"/>
                <w:sz w:val="18"/>
                <w:szCs w:val="20"/>
                <w:lang w:val="en-US" w:eastAsia="zh-CN"/>
              </w:rPr>
              <w:t>Decoder</w:t>
            </w:r>
          </w:p>
        </w:tc>
        <w:tc>
          <w:tcPr>
            <w:tcW w:w="1240"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QC</w:t>
            </w:r>
          </w:p>
        </w:tc>
        <w:tc>
          <w:tcPr>
            <w:tcW w:w="1230"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Samsung</w:t>
            </w:r>
          </w:p>
        </w:tc>
        <w:tc>
          <w:tcPr>
            <w:tcW w:w="1173"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HW</w:t>
            </w:r>
          </w:p>
        </w:tc>
        <w:tc>
          <w:tcPr>
            <w:tcW w:w="1348"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MTK</w:t>
            </w:r>
          </w:p>
        </w:tc>
        <w:tc>
          <w:tcPr>
            <w:tcW w:w="1348"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Nokia</w:t>
            </w:r>
          </w:p>
        </w:tc>
      </w:tr>
      <w:tr>
        <w:tblPrEx>
          <w:tblCellMar>
            <w:top w:w="0" w:type="dxa"/>
            <w:left w:w="108" w:type="dxa"/>
            <w:bottom w:w="0" w:type="dxa"/>
            <w:right w:w="108" w:type="dxa"/>
          </w:tblCellMar>
        </w:tblPrEx>
        <w:trPr>
          <w:trHeight w:val="580" w:hRule="atLeast"/>
          <w:jc w:val="center"/>
        </w:trPr>
        <w:tc>
          <w:tcPr>
            <w:tcW w:w="1168" w:type="dxa"/>
            <w:vMerge w:val="restart"/>
            <w:tcBorders>
              <w:top w:val="single" w:color="auto" w:sz="4" w:space="0"/>
              <w:left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eastAsia" w:eastAsia="等线"/>
                <w:color w:val="000000"/>
                <w:sz w:val="18"/>
                <w:szCs w:val="20"/>
                <w:lang w:val="en-US" w:eastAsia="zh-CN"/>
              </w:rPr>
            </w:pPr>
            <w:r>
              <w:rPr>
                <w:rFonts w:hint="default" w:eastAsia="等线"/>
                <w:color w:val="000000"/>
                <w:sz w:val="18"/>
                <w:szCs w:val="20"/>
                <w:lang w:val="en-US"/>
              </w:rPr>
              <w:t>CSI feedback</w:t>
            </w:r>
          </w:p>
        </w:tc>
        <w:tc>
          <w:tcPr>
            <w:tcW w:w="900" w:type="dxa"/>
            <w:vMerge w:val="restart"/>
            <w:tcBorders>
              <w:top w:val="single" w:color="auto" w:sz="4" w:space="0"/>
              <w:left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eastAsia" w:eastAsia="等线"/>
                <w:color w:val="000000"/>
                <w:sz w:val="18"/>
                <w:szCs w:val="20"/>
                <w:lang w:val="en-US" w:eastAsia="zh-CN"/>
              </w:rPr>
            </w:pPr>
            <w:r>
              <w:rPr>
                <w:rFonts w:hint="default" w:eastAsia="等线"/>
                <w:color w:val="000000"/>
                <w:sz w:val="18"/>
                <w:szCs w:val="20"/>
                <w:lang w:val="en-US"/>
              </w:rPr>
              <w:t>Training dataset</w:t>
            </w:r>
          </w:p>
        </w:tc>
        <w:tc>
          <w:tcPr>
            <w:tcW w:w="1240"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leftChars="0" w:right="0" w:rightChars="0"/>
              <w:jc w:val="center"/>
              <w:rPr>
                <w:rFonts w:hint="eastAsia" w:ascii="Times New Roman" w:hAnsi="Times New Roman" w:eastAsia="等线" w:cs="Times New Roman"/>
                <w:color w:val="000000"/>
                <w:kern w:val="2"/>
                <w:sz w:val="18"/>
                <w:szCs w:val="20"/>
                <w:lang w:val="en-US" w:eastAsia="zh-CN" w:bidi="ar-SA"/>
              </w:rPr>
            </w:pPr>
            <w:r>
              <w:rPr>
                <w:rFonts w:hint="default" w:eastAsia="等线"/>
                <w:color w:val="000000"/>
                <w:sz w:val="18"/>
                <w:szCs w:val="20"/>
                <w:lang w:val="en-US"/>
              </w:rPr>
              <w:t>Test dataset</w:t>
            </w:r>
          </w:p>
        </w:tc>
        <w:tc>
          <w:tcPr>
            <w:tcW w:w="1230"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leftChars="0" w:right="0" w:rightChars="0"/>
              <w:jc w:val="center"/>
              <w:rPr>
                <w:rFonts w:hint="default" w:ascii="Times New Roman" w:hAnsi="Times New Roman" w:eastAsia="等线" w:cs="Times New Roman"/>
                <w:color w:val="000000"/>
                <w:kern w:val="2"/>
                <w:sz w:val="18"/>
                <w:szCs w:val="20"/>
                <w:lang w:val="en-US" w:eastAsia="zh-CN" w:bidi="ar-SA"/>
              </w:rPr>
            </w:pPr>
            <w:r>
              <w:rPr>
                <w:rFonts w:hint="default" w:eastAsia="等线"/>
                <w:color w:val="000000"/>
                <w:sz w:val="18"/>
                <w:szCs w:val="20"/>
                <w:lang w:val="en-US"/>
              </w:rPr>
              <w:t>Test dataset</w:t>
            </w:r>
          </w:p>
        </w:tc>
        <w:tc>
          <w:tcPr>
            <w:tcW w:w="1173"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eastAsia" w:eastAsia="等线"/>
                <w:color w:val="000000"/>
                <w:sz w:val="18"/>
                <w:szCs w:val="20"/>
                <w:lang w:val="en-US" w:eastAsia="zh-CN"/>
              </w:rPr>
            </w:pPr>
            <w:r>
              <w:rPr>
                <w:rFonts w:hint="default" w:eastAsia="等线"/>
                <w:color w:val="000000"/>
                <w:sz w:val="18"/>
                <w:szCs w:val="20"/>
                <w:lang w:val="en-US"/>
              </w:rPr>
              <w:t>Test dataset</w:t>
            </w:r>
          </w:p>
        </w:tc>
        <w:tc>
          <w:tcPr>
            <w:tcW w:w="1348"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default" w:eastAsia="等线"/>
                <w:color w:val="000000"/>
                <w:sz w:val="18"/>
                <w:szCs w:val="20"/>
                <w:lang w:val="en-US"/>
              </w:rPr>
              <w:t>Test dataset</w:t>
            </w:r>
          </w:p>
        </w:tc>
        <w:tc>
          <w:tcPr>
            <w:tcW w:w="1348"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default" w:eastAsia="等线"/>
                <w:color w:val="000000"/>
                <w:sz w:val="18"/>
                <w:szCs w:val="20"/>
                <w:lang w:val="en-US"/>
              </w:rPr>
              <w:t>Test dataset</w:t>
            </w:r>
          </w:p>
        </w:tc>
      </w:tr>
      <w:tr>
        <w:tblPrEx>
          <w:tblCellMar>
            <w:top w:w="0" w:type="dxa"/>
            <w:left w:w="108" w:type="dxa"/>
            <w:bottom w:w="0" w:type="dxa"/>
            <w:right w:w="108" w:type="dxa"/>
          </w:tblCellMar>
        </w:tblPrEx>
        <w:trPr>
          <w:trHeight w:val="580" w:hRule="atLeast"/>
          <w:jc w:val="center"/>
        </w:trPr>
        <w:tc>
          <w:tcPr>
            <w:tcW w:w="1168" w:type="dxa"/>
            <w:vMerge w:val="continue"/>
            <w:tcBorders>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eastAsia" w:eastAsia="等线"/>
                <w:color w:val="000000"/>
                <w:sz w:val="18"/>
                <w:szCs w:val="20"/>
                <w:lang w:val="en-US" w:eastAsia="zh-CN"/>
              </w:rPr>
            </w:pPr>
          </w:p>
        </w:tc>
        <w:tc>
          <w:tcPr>
            <w:tcW w:w="900" w:type="dxa"/>
            <w:vMerge w:val="continue"/>
            <w:tcBorders>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eastAsia" w:eastAsia="等线"/>
                <w:color w:val="000000"/>
                <w:sz w:val="18"/>
                <w:szCs w:val="20"/>
                <w:lang w:val="en-US" w:eastAsia="zh-CN"/>
              </w:rPr>
            </w:pPr>
          </w:p>
        </w:tc>
        <w:tc>
          <w:tcPr>
            <w:tcW w:w="1240"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leftChars="0" w:right="0" w:rightChars="0"/>
              <w:jc w:val="center"/>
              <w:rPr>
                <w:rFonts w:hint="eastAsia" w:ascii="Times New Roman" w:hAnsi="Times New Roman" w:eastAsia="等线" w:cs="Times New Roman"/>
                <w:color w:val="000000"/>
                <w:kern w:val="2"/>
                <w:sz w:val="18"/>
                <w:szCs w:val="20"/>
                <w:lang w:val="en-US" w:eastAsia="zh-CN" w:bidi="ar-SA"/>
              </w:rPr>
            </w:pPr>
            <w:r>
              <w:rPr>
                <w:rFonts w:hint="default" w:eastAsia="等线"/>
                <w:color w:val="000000"/>
                <w:sz w:val="18"/>
                <w:szCs w:val="20"/>
                <w:lang w:val="en-US"/>
              </w:rPr>
              <w:t>UMa</w:t>
            </w:r>
          </w:p>
        </w:tc>
        <w:tc>
          <w:tcPr>
            <w:tcW w:w="1230"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leftChars="0" w:right="0" w:rightChars="0"/>
              <w:jc w:val="center"/>
              <w:rPr>
                <w:rFonts w:hint="default" w:ascii="Times New Roman" w:hAnsi="Times New Roman" w:eastAsia="等线" w:cs="Times New Roman"/>
                <w:color w:val="000000"/>
                <w:kern w:val="2"/>
                <w:sz w:val="18"/>
                <w:szCs w:val="20"/>
                <w:lang w:val="en-US" w:eastAsia="zh-CN" w:bidi="ar-SA"/>
              </w:rPr>
            </w:pPr>
            <w:r>
              <w:rPr>
                <w:rFonts w:hint="default" w:eastAsia="等线"/>
                <w:color w:val="000000"/>
                <w:sz w:val="18"/>
                <w:szCs w:val="20"/>
                <w:lang w:val="en-US"/>
              </w:rPr>
              <w:t>UMa</w:t>
            </w:r>
          </w:p>
        </w:tc>
        <w:tc>
          <w:tcPr>
            <w:tcW w:w="1173"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leftChars="0" w:right="0" w:rightChars="0"/>
              <w:jc w:val="center"/>
              <w:rPr>
                <w:rFonts w:hint="eastAsia" w:ascii="Times New Roman" w:hAnsi="Times New Roman" w:eastAsia="等线" w:cs="Times New Roman"/>
                <w:color w:val="000000"/>
                <w:kern w:val="2"/>
                <w:sz w:val="18"/>
                <w:szCs w:val="20"/>
                <w:lang w:val="en-US" w:eastAsia="zh-CN" w:bidi="ar-SA"/>
              </w:rPr>
            </w:pPr>
            <w:r>
              <w:rPr>
                <w:rFonts w:hint="default" w:eastAsia="等线"/>
                <w:color w:val="000000"/>
                <w:sz w:val="18"/>
                <w:szCs w:val="20"/>
                <w:lang w:val="en-US"/>
              </w:rPr>
              <w:t>UMa</w:t>
            </w:r>
          </w:p>
        </w:tc>
        <w:tc>
          <w:tcPr>
            <w:tcW w:w="1348"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eastAsia" w:eastAsia="等线"/>
                <w:color w:val="000000"/>
                <w:sz w:val="18"/>
                <w:szCs w:val="20"/>
                <w:lang w:val="en-US" w:eastAsia="zh-CN"/>
              </w:rPr>
            </w:pPr>
            <w:r>
              <w:rPr>
                <w:rFonts w:hint="eastAsia" w:eastAsia="等线"/>
                <w:color w:val="000000"/>
                <w:sz w:val="18"/>
                <w:szCs w:val="20"/>
                <w:lang w:val="en-US" w:eastAsia="zh-CN"/>
              </w:rPr>
              <w:t>UMa</w:t>
            </w:r>
          </w:p>
        </w:tc>
        <w:tc>
          <w:tcPr>
            <w:tcW w:w="1348"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eastAsia" w:eastAsia="等线"/>
                <w:color w:val="000000"/>
                <w:sz w:val="18"/>
                <w:szCs w:val="20"/>
                <w:lang w:val="en-US" w:eastAsia="zh-CN"/>
              </w:rPr>
            </w:pPr>
            <w:r>
              <w:rPr>
                <w:rFonts w:hint="eastAsia" w:eastAsia="等线"/>
                <w:color w:val="000000"/>
                <w:sz w:val="18"/>
                <w:szCs w:val="20"/>
                <w:lang w:val="en-US" w:eastAsia="zh-CN"/>
              </w:rPr>
              <w:t>UMa</w:t>
            </w:r>
          </w:p>
        </w:tc>
      </w:tr>
      <w:tr>
        <w:tblPrEx>
          <w:tblCellMar>
            <w:top w:w="0" w:type="dxa"/>
            <w:left w:w="108" w:type="dxa"/>
            <w:bottom w:w="0" w:type="dxa"/>
            <w:right w:w="108" w:type="dxa"/>
          </w:tblCellMar>
        </w:tblPrEx>
        <w:trPr>
          <w:trHeight w:val="838" w:hRule="atLeast"/>
          <w:jc w:val="center"/>
        </w:trPr>
        <w:tc>
          <w:tcPr>
            <w:tcW w:w="116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No quantization</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default" w:eastAsia="等线"/>
                <w:color w:val="000000"/>
                <w:sz w:val="18"/>
                <w:szCs w:val="20"/>
                <w:lang w:val="en-US"/>
              </w:rPr>
              <w:t>UMa</w:t>
            </w:r>
          </w:p>
        </w:tc>
        <w:tc>
          <w:tcPr>
            <w:tcW w:w="1240"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0.45</w:t>
            </w:r>
          </w:p>
        </w:tc>
        <w:tc>
          <w:tcPr>
            <w:tcW w:w="1230"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0.72</w:t>
            </w:r>
          </w:p>
        </w:tc>
        <w:tc>
          <w:tcPr>
            <w:tcW w:w="1173"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0.1</w:t>
            </w:r>
          </w:p>
        </w:tc>
        <w:tc>
          <w:tcPr>
            <w:tcW w:w="1348"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0.40</w:t>
            </w:r>
          </w:p>
        </w:tc>
        <w:tc>
          <w:tcPr>
            <w:tcW w:w="1348"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0.69</w:t>
            </w:r>
          </w:p>
        </w:tc>
      </w:tr>
    </w:tbl>
    <w:p>
      <w:pPr>
        <w:jc w:val="both"/>
        <w:rPr>
          <w:rFonts w:hint="default" w:cs="Times New Roman"/>
          <w:b w:val="0"/>
          <w:bCs/>
          <w:szCs w:val="20"/>
          <w:u w:val="none"/>
          <w:lang w:val="en-US" w:eastAsia="zh-CN"/>
        </w:rPr>
      </w:pPr>
      <w:r>
        <w:rPr>
          <w:rFonts w:hint="eastAsia" w:cs="Times New Roman"/>
          <w:b w:val="0"/>
          <w:bCs/>
          <w:szCs w:val="20"/>
          <w:u w:val="none"/>
          <w:lang w:val="en-US" w:eastAsia="zh-CN"/>
        </w:rPr>
        <w:t>Based on our simulations results, there are significant differences in the encoders obtained through training with the same training dataset but different decoders, even when all companies use the same AI/ML architecture. Supposing that all companies</w:t>
      </w:r>
      <w:r>
        <w:rPr>
          <w:rFonts w:hint="default" w:cs="Times New Roman"/>
          <w:b w:val="0"/>
          <w:bCs/>
          <w:szCs w:val="20"/>
          <w:u w:val="none"/>
          <w:lang w:val="en-US" w:eastAsia="zh-CN"/>
        </w:rPr>
        <w:t>’</w:t>
      </w:r>
      <w:r>
        <w:rPr>
          <w:rFonts w:hint="eastAsia" w:cs="Times New Roman"/>
          <w:b w:val="0"/>
          <w:bCs/>
          <w:szCs w:val="20"/>
          <w:u w:val="none"/>
          <w:lang w:val="en-US" w:eastAsia="zh-CN"/>
        </w:rPr>
        <w:t xml:space="preserve"> datasets use the same preprocessing steps, perhaps we could draw a conclusion that variations in training data have a decisive impact on performance. </w:t>
      </w:r>
    </w:p>
    <w:p>
      <w:pPr>
        <w:jc w:val="both"/>
        <w:rPr>
          <w:rFonts w:hint="default" w:cs="Times New Roman"/>
          <w:b w:val="0"/>
          <w:bCs/>
          <w:szCs w:val="20"/>
          <w:u w:val="none"/>
          <w:lang w:val="en-US" w:eastAsia="zh-CN"/>
        </w:rPr>
      </w:pPr>
      <w:r>
        <w:rPr>
          <w:rFonts w:hint="eastAsia" w:cs="Times New Roman"/>
          <w:b w:val="0"/>
          <w:bCs/>
          <w:szCs w:val="20"/>
          <w:u w:val="none"/>
          <w:lang w:val="en-US" w:eastAsia="zh-CN"/>
        </w:rPr>
        <w:t>More importantly, when we training with the selected decoders, we discovered that the output data structures from some companies deviate from previous meeting conclusions. This implies that the dimensions of the training data did not align with the previous conclusions and highlights inconsistencies in the preprocssing of the training datasets.</w:t>
      </w:r>
    </w:p>
    <w:p>
      <w:pPr>
        <w:jc w:val="both"/>
        <w:rPr>
          <w:rFonts w:hint="eastAsia"/>
          <w:b/>
          <w:bCs/>
          <w:i/>
          <w:iCs/>
          <w:szCs w:val="21"/>
          <w:lang w:val="en-US" w:eastAsia="zh-CN"/>
        </w:rPr>
      </w:pPr>
      <w:r>
        <w:rPr>
          <w:rFonts w:hint="eastAsia"/>
          <w:b/>
          <w:bCs/>
          <w:i/>
          <w:iCs/>
          <w:szCs w:val="21"/>
          <w:lang w:val="en-US" w:eastAsia="zh-CN"/>
        </w:rPr>
        <w:t>Observation 1. The output data structures from some companies deviate from previous meeting conclusions, which also implies that the dimensions of the training datasets did not align with the previous meeting conclusions.</w:t>
      </w:r>
    </w:p>
    <w:p>
      <w:pPr>
        <w:jc w:val="both"/>
        <w:rPr>
          <w:rFonts w:hint="default"/>
          <w:b/>
          <w:bCs/>
          <w:i/>
          <w:iCs/>
          <w:szCs w:val="21"/>
          <w:lang w:val="en-US" w:eastAsia="zh-CN"/>
        </w:rPr>
      </w:pPr>
      <w:r>
        <w:rPr>
          <w:rFonts w:hint="eastAsia"/>
          <w:b/>
          <w:bCs/>
          <w:i/>
          <w:iCs/>
          <w:szCs w:val="21"/>
          <w:lang w:val="en-US" w:eastAsia="zh-CN"/>
        </w:rPr>
        <w:t>Proposal 1. Propose to completely align the decoder- related parameters, input/output formats, quantization, etc.</w:t>
      </w:r>
    </w:p>
    <w:p>
      <w:pPr>
        <w:jc w:val="both"/>
        <w:rPr>
          <w:rFonts w:hint="eastAsia" w:cs="Times New Roman"/>
          <w:b w:val="0"/>
          <w:bCs/>
          <w:szCs w:val="20"/>
          <w:u w:val="none"/>
          <w:lang w:val="en-US" w:eastAsia="zh-CN"/>
        </w:rPr>
      </w:pPr>
      <w:r>
        <w:rPr>
          <w:rFonts w:hint="eastAsia" w:cs="Times New Roman"/>
          <w:b w:val="0"/>
          <w:bCs/>
          <w:szCs w:val="20"/>
          <w:u w:val="none"/>
          <w:lang w:val="en-US" w:eastAsia="zh-CN"/>
        </w:rPr>
        <w:t xml:space="preserve">Regarding Track 2, that needs to crate a mixed dataset, companies train decoders based the mixed dataset. And then RAN4 needs to chose one or more decoders and companies develop encoders based on the selected decoders. The core of this approach lies in how to crate a mixed dataset. In previous email discussion, some companies proposed that mixed dataset is constructed from the 600k/n samples from each of the datasets, where n is the number of contributed companies. In general, we are agree this approach to crate a mixed training dataset. On the other side, the validation and testing datasets also need to follow the same approach, the only difference is the number of samples. </w:t>
      </w:r>
    </w:p>
    <w:p>
      <w:pPr>
        <w:jc w:val="both"/>
        <w:rPr>
          <w:rFonts w:hint="default" w:cs="Times New Roman"/>
          <w:b w:val="0"/>
          <w:bCs/>
          <w:szCs w:val="20"/>
          <w:u w:val="none"/>
          <w:lang w:val="en-US" w:eastAsia="zh-CN"/>
        </w:rPr>
      </w:pPr>
      <w:r>
        <w:rPr>
          <w:rFonts w:hint="eastAsia" w:cs="Times New Roman"/>
          <w:b w:val="0"/>
          <w:bCs/>
          <w:szCs w:val="20"/>
          <w:u w:val="none"/>
          <w:lang w:val="en-US" w:eastAsia="zh-CN"/>
        </w:rPr>
        <w:t xml:space="preserve">As described above, we used the mixed dataset that uploaded by other companies in 3GPP website. The AI/ML model also followed the CNN structure. We evaluated 2bit scalar quantization and without quantization in our training process. Our simulation results are shown in the following Table 2 and Table 3. </w:t>
      </w:r>
    </w:p>
    <w:p>
      <w:pPr>
        <w:jc w:val="center"/>
        <w:rPr>
          <w:rFonts w:hint="eastAsia" w:cs="Times New Roman"/>
          <w:b w:val="0"/>
          <w:bCs/>
          <w:sz w:val="18"/>
          <w:szCs w:val="18"/>
          <w:u w:val="none"/>
          <w:lang w:val="en-US" w:eastAsia="zh-CN"/>
        </w:rPr>
      </w:pPr>
      <w:r>
        <w:rPr>
          <w:rFonts w:hint="eastAsia" w:cs="Times New Roman"/>
          <w:b w:val="0"/>
          <w:bCs/>
          <w:sz w:val="18"/>
          <w:szCs w:val="18"/>
          <w:u w:val="none"/>
          <w:lang w:val="en-US" w:eastAsia="zh-CN"/>
        </w:rPr>
        <w:t>Table 2. Simulation results for Track 2 of Option3</w:t>
      </w:r>
    </w:p>
    <w:tbl>
      <w:tblPr>
        <w:tblStyle w:val="22"/>
        <w:tblW w:w="6419" w:type="dxa"/>
        <w:jc w:val="center"/>
        <w:tblLayout w:type="fixed"/>
        <w:tblCellMar>
          <w:top w:w="0" w:type="dxa"/>
          <w:left w:w="108" w:type="dxa"/>
          <w:bottom w:w="0" w:type="dxa"/>
          <w:right w:w="108" w:type="dxa"/>
        </w:tblCellMar>
      </w:tblPr>
      <w:tblGrid>
        <w:gridCol w:w="3223"/>
        <w:gridCol w:w="1598"/>
        <w:gridCol w:w="1598"/>
      </w:tblGrid>
      <w:tr>
        <w:tblPrEx>
          <w:tblCellMar>
            <w:top w:w="0" w:type="dxa"/>
            <w:left w:w="108" w:type="dxa"/>
            <w:bottom w:w="0" w:type="dxa"/>
            <w:right w:w="108" w:type="dxa"/>
          </w:tblCellMar>
        </w:tblPrEx>
        <w:trPr>
          <w:trHeight w:val="481" w:hRule="atLeast"/>
          <w:jc w:val="center"/>
        </w:trPr>
        <w:tc>
          <w:tcPr>
            <w:tcW w:w="3223" w:type="dxa"/>
            <w:vMerge w:val="restart"/>
            <w:tcBorders>
              <w:top w:val="single" w:color="auto" w:sz="4" w:space="0"/>
              <w:left w:val="single" w:color="auto" w:sz="4" w:space="0"/>
              <w:right w:val="single" w:color="000000"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default" w:eastAsia="等线"/>
                <w:color w:val="000000"/>
                <w:sz w:val="18"/>
                <w:szCs w:val="20"/>
                <w:lang w:val="en-US"/>
              </w:rPr>
              <w:t>Model structure</w:t>
            </w:r>
          </w:p>
        </w:tc>
        <w:tc>
          <w:tcPr>
            <w:tcW w:w="1598"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default" w:eastAsia="等线"/>
                <w:color w:val="000000"/>
                <w:sz w:val="18"/>
                <w:szCs w:val="20"/>
                <w:lang w:val="en-US"/>
              </w:rPr>
              <w:t>Training dataset</w:t>
            </w:r>
          </w:p>
        </w:tc>
        <w:tc>
          <w:tcPr>
            <w:tcW w:w="1598"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firstLine="180" w:firstLineChars="100"/>
              <w:jc w:val="center"/>
              <w:rPr>
                <w:rFonts w:hint="default" w:eastAsia="等线"/>
                <w:color w:val="000000"/>
                <w:sz w:val="18"/>
                <w:szCs w:val="20"/>
                <w:lang w:val="en-US" w:eastAsia="zh-CN"/>
              </w:rPr>
            </w:pPr>
            <w:r>
              <w:rPr>
                <w:rFonts w:hint="eastAsia" w:eastAsia="等线"/>
                <w:color w:val="000000"/>
                <w:sz w:val="18"/>
                <w:szCs w:val="20"/>
                <w:lang w:val="en-US" w:eastAsia="zh-CN"/>
              </w:rPr>
              <w:t>T</w:t>
            </w:r>
            <w:r>
              <w:rPr>
                <w:rFonts w:hint="default" w:eastAsia="等线"/>
                <w:color w:val="000000"/>
                <w:sz w:val="18"/>
                <w:szCs w:val="20"/>
                <w:lang w:val="en-US"/>
              </w:rPr>
              <w:t>est dataset</w:t>
            </w:r>
          </w:p>
        </w:tc>
      </w:tr>
      <w:tr>
        <w:tblPrEx>
          <w:tblCellMar>
            <w:top w:w="0" w:type="dxa"/>
            <w:left w:w="108" w:type="dxa"/>
            <w:bottom w:w="0" w:type="dxa"/>
            <w:right w:w="108" w:type="dxa"/>
          </w:tblCellMar>
        </w:tblPrEx>
        <w:trPr>
          <w:trHeight w:val="387" w:hRule="atLeast"/>
          <w:jc w:val="center"/>
        </w:trPr>
        <w:tc>
          <w:tcPr>
            <w:tcW w:w="3223" w:type="dxa"/>
            <w:vMerge w:val="continue"/>
            <w:tcBorders>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szCs w:val="20"/>
              </w:rPr>
            </w:pPr>
          </w:p>
        </w:tc>
        <w:tc>
          <w:tcPr>
            <w:tcW w:w="319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Mixed dataset</w:t>
            </w:r>
          </w:p>
        </w:tc>
      </w:tr>
      <w:tr>
        <w:tblPrEx>
          <w:tblCellMar>
            <w:top w:w="0" w:type="dxa"/>
            <w:left w:w="108" w:type="dxa"/>
            <w:bottom w:w="0" w:type="dxa"/>
            <w:right w:w="108" w:type="dxa"/>
          </w:tblCellMar>
        </w:tblPrEx>
        <w:trPr>
          <w:trHeight w:val="406" w:hRule="atLeast"/>
          <w:jc w:val="center"/>
        </w:trPr>
        <w:tc>
          <w:tcPr>
            <w:tcW w:w="322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CNN-no quantization</w:t>
            </w:r>
          </w:p>
        </w:tc>
        <w:tc>
          <w:tcPr>
            <w:tcW w:w="31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0.67</w:t>
            </w:r>
          </w:p>
        </w:tc>
      </w:tr>
    </w:tbl>
    <w:p>
      <w:pPr>
        <w:jc w:val="both"/>
        <w:rPr>
          <w:rFonts w:hint="eastAsia" w:cs="Times New Roman"/>
          <w:b w:val="0"/>
          <w:bCs/>
          <w:szCs w:val="20"/>
          <w:u w:val="none"/>
          <w:lang w:val="en-US" w:eastAsia="zh-CN"/>
        </w:rPr>
      </w:pPr>
    </w:p>
    <w:p>
      <w:pPr>
        <w:jc w:val="center"/>
        <w:rPr>
          <w:rFonts w:hint="eastAsia" w:cs="Times New Roman"/>
          <w:b w:val="0"/>
          <w:bCs/>
          <w:sz w:val="18"/>
          <w:szCs w:val="18"/>
          <w:u w:val="none"/>
          <w:lang w:val="en-US" w:eastAsia="zh-CN"/>
        </w:rPr>
      </w:pPr>
      <w:r>
        <w:rPr>
          <w:rFonts w:hint="eastAsia" w:cs="Times New Roman"/>
          <w:b w:val="0"/>
          <w:bCs/>
          <w:sz w:val="18"/>
          <w:szCs w:val="18"/>
          <w:u w:val="none"/>
          <w:lang w:val="en-US" w:eastAsia="zh-CN"/>
        </w:rPr>
        <w:t>Table 3. Simulation results for Track 2 of Option3</w:t>
      </w:r>
    </w:p>
    <w:tbl>
      <w:tblPr>
        <w:tblStyle w:val="22"/>
        <w:tblW w:w="6360" w:type="dxa"/>
        <w:jc w:val="center"/>
        <w:tblLayout w:type="fixed"/>
        <w:tblCellMar>
          <w:top w:w="0" w:type="dxa"/>
          <w:left w:w="108" w:type="dxa"/>
          <w:bottom w:w="0" w:type="dxa"/>
          <w:right w:w="108" w:type="dxa"/>
        </w:tblCellMar>
      </w:tblPr>
      <w:tblGrid>
        <w:gridCol w:w="3223"/>
        <w:gridCol w:w="1598"/>
        <w:gridCol w:w="1539"/>
      </w:tblGrid>
      <w:tr>
        <w:tblPrEx>
          <w:tblCellMar>
            <w:top w:w="0" w:type="dxa"/>
            <w:left w:w="108" w:type="dxa"/>
            <w:bottom w:w="0" w:type="dxa"/>
            <w:right w:w="108" w:type="dxa"/>
          </w:tblCellMar>
        </w:tblPrEx>
        <w:trPr>
          <w:trHeight w:val="481" w:hRule="atLeast"/>
          <w:jc w:val="center"/>
        </w:trPr>
        <w:tc>
          <w:tcPr>
            <w:tcW w:w="3223" w:type="dxa"/>
            <w:vMerge w:val="restart"/>
            <w:tcBorders>
              <w:top w:val="single" w:color="auto" w:sz="4" w:space="0"/>
              <w:left w:val="single" w:color="auto" w:sz="4" w:space="0"/>
              <w:right w:val="single" w:color="000000"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default" w:eastAsia="等线"/>
                <w:color w:val="000000"/>
                <w:sz w:val="18"/>
                <w:szCs w:val="20"/>
                <w:lang w:val="en-US"/>
              </w:rPr>
              <w:t>Model structure</w:t>
            </w:r>
          </w:p>
        </w:tc>
        <w:tc>
          <w:tcPr>
            <w:tcW w:w="1598"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default" w:eastAsia="等线"/>
                <w:color w:val="000000"/>
                <w:sz w:val="18"/>
                <w:szCs w:val="20"/>
                <w:lang w:val="en-US"/>
              </w:rPr>
              <w:t>Training dataset</w:t>
            </w:r>
          </w:p>
        </w:tc>
        <w:tc>
          <w:tcPr>
            <w:tcW w:w="1539"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firstLine="180" w:firstLineChars="100"/>
              <w:jc w:val="center"/>
              <w:rPr>
                <w:rFonts w:hint="default" w:eastAsia="等线"/>
                <w:color w:val="000000"/>
                <w:sz w:val="18"/>
                <w:szCs w:val="20"/>
                <w:lang w:val="en-US" w:eastAsia="zh-CN"/>
              </w:rPr>
            </w:pPr>
            <w:r>
              <w:rPr>
                <w:rFonts w:hint="eastAsia" w:eastAsia="等线"/>
                <w:color w:val="000000"/>
                <w:sz w:val="18"/>
                <w:szCs w:val="20"/>
                <w:lang w:val="en-US" w:eastAsia="zh-CN"/>
              </w:rPr>
              <w:t>T</w:t>
            </w:r>
            <w:r>
              <w:rPr>
                <w:rFonts w:hint="default" w:eastAsia="等线"/>
                <w:color w:val="000000"/>
                <w:sz w:val="18"/>
                <w:szCs w:val="20"/>
                <w:lang w:val="en-US"/>
              </w:rPr>
              <w:t>est dataset</w:t>
            </w:r>
          </w:p>
        </w:tc>
      </w:tr>
      <w:tr>
        <w:tblPrEx>
          <w:tblCellMar>
            <w:top w:w="0" w:type="dxa"/>
            <w:left w:w="108" w:type="dxa"/>
            <w:bottom w:w="0" w:type="dxa"/>
            <w:right w:w="108" w:type="dxa"/>
          </w:tblCellMar>
        </w:tblPrEx>
        <w:trPr>
          <w:trHeight w:val="437" w:hRule="atLeast"/>
          <w:jc w:val="center"/>
        </w:trPr>
        <w:tc>
          <w:tcPr>
            <w:tcW w:w="3223" w:type="dxa"/>
            <w:vMerge w:val="continue"/>
            <w:tcBorders>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szCs w:val="20"/>
              </w:rPr>
            </w:pPr>
          </w:p>
        </w:tc>
        <w:tc>
          <w:tcPr>
            <w:tcW w:w="313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Mixed dataset</w:t>
            </w:r>
          </w:p>
        </w:tc>
      </w:tr>
      <w:tr>
        <w:tblPrEx>
          <w:tblCellMar>
            <w:top w:w="0" w:type="dxa"/>
            <w:left w:w="108" w:type="dxa"/>
            <w:bottom w:w="0" w:type="dxa"/>
            <w:right w:w="108" w:type="dxa"/>
          </w:tblCellMar>
        </w:tblPrEx>
        <w:trPr>
          <w:trHeight w:val="396" w:hRule="atLeast"/>
          <w:jc w:val="center"/>
        </w:trPr>
        <w:tc>
          <w:tcPr>
            <w:tcW w:w="322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CNN- 2-bits Scalar Quantization</w:t>
            </w:r>
          </w:p>
        </w:tc>
        <w:tc>
          <w:tcPr>
            <w:tcW w:w="31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0.61</w:t>
            </w:r>
          </w:p>
        </w:tc>
      </w:tr>
    </w:tbl>
    <w:p>
      <w:pPr>
        <w:jc w:val="both"/>
        <w:rPr>
          <w:rFonts w:hint="eastAsia" w:cs="Times New Roman"/>
          <w:b w:val="0"/>
          <w:bCs/>
          <w:szCs w:val="20"/>
          <w:u w:val="none"/>
          <w:lang w:val="en-US" w:eastAsia="zh-CN"/>
        </w:rPr>
      </w:pPr>
    </w:p>
    <w:p>
      <w:pPr>
        <w:jc w:val="both"/>
        <w:rPr>
          <w:rFonts w:hint="eastAsia" w:cs="Times New Roman"/>
          <w:b w:val="0"/>
          <w:bCs/>
          <w:szCs w:val="20"/>
          <w:u w:val="none"/>
          <w:lang w:val="en-US" w:eastAsia="zh-CN"/>
        </w:rPr>
      </w:pPr>
      <w:r>
        <w:rPr>
          <w:rFonts w:hint="eastAsia" w:cs="Times New Roman"/>
          <w:b w:val="0"/>
          <w:bCs/>
          <w:szCs w:val="20"/>
          <w:u w:val="none"/>
          <w:lang w:val="en-US" w:eastAsia="zh-CN"/>
        </w:rPr>
        <w:t xml:space="preserve">Our simulation results show that the SCGS is approximately 0.67 without quantization and 0.61 with 2 bits scalar quantization. Compared to our previous result with our own training dataset, the performance has a little degradation. From our understanding, this phenomenon is reasonable, because we used a mixed dataset with samples from seven companies. The mixed dataset may have distinct data characteristics, with considerable variability existing among different companies. In order to adapt the differences in the training dataset, the trained model has a certain degree of generalization. </w:t>
      </w:r>
    </w:p>
    <w:p>
      <w:pPr>
        <w:jc w:val="both"/>
        <w:rPr>
          <w:rFonts w:hint="default"/>
          <w:b/>
          <w:bCs/>
          <w:i/>
          <w:iCs/>
          <w:szCs w:val="21"/>
          <w:lang w:val="en-US" w:eastAsia="zh-CN"/>
        </w:rPr>
      </w:pPr>
      <w:r>
        <w:rPr>
          <w:rFonts w:hint="eastAsia"/>
          <w:b/>
          <w:bCs/>
          <w:i/>
          <w:iCs/>
          <w:szCs w:val="21"/>
          <w:lang w:val="en-US" w:eastAsia="zh-CN"/>
        </w:rPr>
        <w:t xml:space="preserve">Observation 2. The results from the mixed dataset show degradation compared to our previous results for 2bits scalar quantization and without quantization.  </w:t>
      </w:r>
    </w:p>
    <w:p>
      <w:pPr>
        <w:jc w:val="both"/>
        <w:rPr>
          <w:rFonts w:hint="default" w:cs="Times New Roman"/>
          <w:b w:val="0"/>
          <w:bCs/>
          <w:szCs w:val="20"/>
          <w:u w:val="none"/>
          <w:lang w:val="en-US" w:eastAsia="zh-CN"/>
        </w:rPr>
      </w:pPr>
      <w:r>
        <w:rPr>
          <w:rFonts w:hint="eastAsia"/>
          <w:b/>
          <w:bCs/>
          <w:i/>
          <w:iCs/>
          <w:szCs w:val="21"/>
          <w:lang w:val="en-US" w:eastAsia="zh-CN"/>
        </w:rPr>
        <w:t xml:space="preserve">Observation 3. The training data has an impact on performance. </w:t>
      </w:r>
    </w:p>
    <w:p>
      <w:pPr>
        <w:rPr>
          <w:rFonts w:hint="default" w:eastAsiaTheme="minorEastAsia"/>
          <w:b/>
          <w:sz w:val="21"/>
          <w:szCs w:val="21"/>
          <w:u w:val="single"/>
          <w:lang w:val="en-US" w:eastAsia="zh-CN"/>
        </w:rPr>
      </w:pPr>
      <w:r>
        <w:rPr>
          <w:rFonts w:hint="default" w:eastAsiaTheme="minorEastAsia"/>
          <w:b/>
          <w:sz w:val="21"/>
          <w:szCs w:val="21"/>
          <w:u w:val="single"/>
          <w:lang w:val="en-US" w:eastAsia="zh-CN"/>
        </w:rPr>
        <w:t xml:space="preserve">Option 4a(Dataset based) for 2-sided model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2"/>
                <w:numId w:val="10"/>
              </w:numPr>
              <w:suppressLineNumbers w:val="0"/>
              <w:overflowPunct w:val="0"/>
              <w:autoSpaceDE w:val="0"/>
              <w:autoSpaceDN w:val="0"/>
              <w:adjustRightInd w:val="0"/>
              <w:spacing w:before="0" w:beforeAutospacing="0" w:after="120" w:afterAutospacing="0"/>
              <w:ind w:left="426" w:right="0" w:hanging="426" w:firstLineChars="0"/>
              <w:textAlignment w:val="baseline"/>
              <w:rPr>
                <w:rFonts w:hint="default"/>
                <w:sz w:val="21"/>
                <w:szCs w:val="21"/>
                <w:lang w:eastAsia="zh-CN"/>
              </w:rPr>
            </w:pPr>
            <w:r>
              <w:rPr>
                <w:rFonts w:hint="eastAsia"/>
                <w:sz w:val="21"/>
                <w:szCs w:val="21"/>
                <w:lang w:eastAsia="zh-CN"/>
              </w:rPr>
              <w:t>S</w:t>
            </w:r>
            <w:r>
              <w:rPr>
                <w:rFonts w:hint="default"/>
                <w:sz w:val="21"/>
                <w:szCs w:val="21"/>
                <w:lang w:eastAsia="zh-CN"/>
              </w:rPr>
              <w:t>tep 1-3: Reuse results of Option 3</w:t>
            </w:r>
          </w:p>
          <w:p>
            <w:pPr>
              <w:pStyle w:val="33"/>
              <w:keepNext w:val="0"/>
              <w:keepLines w:val="0"/>
              <w:widowControl/>
              <w:numPr>
                <w:ilvl w:val="2"/>
                <w:numId w:val="10"/>
              </w:numPr>
              <w:suppressLineNumbers w:val="0"/>
              <w:overflowPunct w:val="0"/>
              <w:autoSpaceDE w:val="0"/>
              <w:autoSpaceDN w:val="0"/>
              <w:adjustRightInd w:val="0"/>
              <w:spacing w:before="0" w:beforeAutospacing="0" w:after="120" w:afterAutospacing="0"/>
              <w:ind w:left="426" w:right="0" w:hanging="426" w:firstLineChars="0"/>
              <w:textAlignment w:val="baseline"/>
              <w:rPr>
                <w:rFonts w:hint="default"/>
                <w:sz w:val="21"/>
                <w:szCs w:val="21"/>
                <w:lang w:eastAsia="zh-CN"/>
              </w:rPr>
            </w:pPr>
            <w:r>
              <w:rPr>
                <w:rFonts w:hint="default"/>
                <w:sz w:val="21"/>
                <w:szCs w:val="21"/>
                <w:lang w:eastAsia="zh-CN"/>
              </w:rPr>
              <w:t>Step 4: Select one or more Eigenvalue dataset(s) for further analysis based option 3</w:t>
            </w:r>
          </w:p>
          <w:p>
            <w:pPr>
              <w:pStyle w:val="33"/>
              <w:keepNext w:val="0"/>
              <w:keepLines w:val="0"/>
              <w:widowControl/>
              <w:numPr>
                <w:ilvl w:val="3"/>
                <w:numId w:val="10"/>
              </w:numPr>
              <w:suppressLineNumbers w:val="0"/>
              <w:overflowPunct w:val="0"/>
              <w:autoSpaceDE w:val="0"/>
              <w:autoSpaceDN w:val="0"/>
              <w:adjustRightInd w:val="0"/>
              <w:spacing w:before="0" w:beforeAutospacing="0" w:after="120" w:afterAutospacing="0"/>
              <w:ind w:left="426" w:right="0" w:firstLine="141" w:firstLineChars="0"/>
              <w:textAlignment w:val="baseline"/>
              <w:rPr>
                <w:rFonts w:hint="default"/>
                <w:sz w:val="21"/>
                <w:szCs w:val="21"/>
                <w:lang w:eastAsia="zh-CN"/>
              </w:rPr>
            </w:pPr>
            <w:r>
              <w:rPr>
                <w:rFonts w:hint="default"/>
                <w:sz w:val="21"/>
                <w:szCs w:val="21"/>
                <w:lang w:eastAsia="zh-CN"/>
              </w:rPr>
              <w:t>Selection criteria: select the dataset(s) generated from the selected encoder and decoder pair(s) from Option 3 track 1</w:t>
            </w:r>
          </w:p>
          <w:p>
            <w:pPr>
              <w:pStyle w:val="33"/>
              <w:keepNext w:val="0"/>
              <w:keepLines w:val="0"/>
              <w:widowControl/>
              <w:numPr>
                <w:ilvl w:val="3"/>
                <w:numId w:val="10"/>
              </w:numPr>
              <w:suppressLineNumbers w:val="0"/>
              <w:overflowPunct w:val="0"/>
              <w:autoSpaceDE w:val="0"/>
              <w:autoSpaceDN w:val="0"/>
              <w:adjustRightInd w:val="0"/>
              <w:spacing w:before="0" w:beforeAutospacing="0" w:after="120" w:afterAutospacing="0"/>
              <w:ind w:left="426" w:right="0" w:firstLine="141" w:firstLineChars="0"/>
              <w:textAlignment w:val="baseline"/>
              <w:rPr>
                <w:rFonts w:hint="default"/>
                <w:sz w:val="21"/>
                <w:szCs w:val="21"/>
                <w:lang w:eastAsia="zh-CN"/>
              </w:rPr>
            </w:pPr>
            <w:r>
              <w:rPr>
                <w:rFonts w:hint="default"/>
                <w:sz w:val="21"/>
                <w:szCs w:val="21"/>
                <w:lang w:eastAsia="zh-CN"/>
              </w:rPr>
              <w:t>Or mixed dataset from track 2</w:t>
            </w:r>
          </w:p>
          <w:p>
            <w:pPr>
              <w:pStyle w:val="33"/>
              <w:keepNext w:val="0"/>
              <w:keepLines w:val="0"/>
              <w:widowControl/>
              <w:numPr>
                <w:ilvl w:val="2"/>
                <w:numId w:val="10"/>
              </w:numPr>
              <w:suppressLineNumbers w:val="0"/>
              <w:overflowPunct w:val="0"/>
              <w:autoSpaceDE w:val="0"/>
              <w:autoSpaceDN w:val="0"/>
              <w:adjustRightInd w:val="0"/>
              <w:spacing w:before="0" w:beforeAutospacing="0" w:after="120" w:afterAutospacing="0"/>
              <w:ind w:left="426" w:right="0" w:hanging="426" w:firstLineChars="0"/>
              <w:textAlignment w:val="baseline"/>
              <w:rPr>
                <w:rFonts w:hint="default"/>
                <w:sz w:val="21"/>
                <w:szCs w:val="21"/>
                <w:lang w:eastAsia="zh-CN"/>
              </w:rPr>
            </w:pPr>
            <w:r>
              <w:rPr>
                <w:rFonts w:hint="default"/>
                <w:sz w:val="21"/>
                <w:szCs w:val="21"/>
                <w:lang w:eastAsia="zh-CN"/>
              </w:rPr>
              <w:t>Step 5: Label selected dataset(s) (mapping of encoder input to latent message) [using encoder] corresponding to the selected test decoder(s) from option 3</w:t>
            </w:r>
          </w:p>
          <w:p>
            <w:pPr>
              <w:pStyle w:val="33"/>
              <w:keepNext w:val="0"/>
              <w:keepLines w:val="0"/>
              <w:widowControl/>
              <w:numPr>
                <w:ilvl w:val="2"/>
                <w:numId w:val="10"/>
              </w:numPr>
              <w:suppressLineNumbers w:val="0"/>
              <w:overflowPunct w:val="0"/>
              <w:autoSpaceDE w:val="0"/>
              <w:autoSpaceDN w:val="0"/>
              <w:adjustRightInd w:val="0"/>
              <w:spacing w:before="0" w:beforeAutospacing="0" w:after="120" w:afterAutospacing="0"/>
              <w:ind w:left="426" w:right="0" w:hanging="426" w:firstLineChars="0"/>
              <w:textAlignment w:val="baseline"/>
              <w:rPr>
                <w:rFonts w:hint="default"/>
                <w:sz w:val="21"/>
                <w:szCs w:val="21"/>
                <w:lang w:eastAsia="zh-CN"/>
              </w:rPr>
            </w:pPr>
            <w:r>
              <w:rPr>
                <w:rFonts w:hint="default"/>
                <w:sz w:val="21"/>
                <w:szCs w:val="21"/>
                <w:lang w:eastAsia="zh-CN"/>
              </w:rPr>
              <w:t>Step 6: Compan</w:t>
            </w:r>
            <w:r>
              <w:rPr>
                <w:rFonts w:hint="eastAsia" w:eastAsia="Yu Mincho"/>
                <w:sz w:val="21"/>
                <w:szCs w:val="21"/>
                <w:lang w:eastAsia="ja-JP"/>
              </w:rPr>
              <w:t>ies</w:t>
            </w:r>
            <w:r>
              <w:rPr>
                <w:rFonts w:hint="default"/>
                <w:sz w:val="21"/>
                <w:szCs w:val="21"/>
                <w:lang w:eastAsia="zh-CN"/>
              </w:rPr>
              <w:t xml:space="preserve"> bring results for training of “own encoder(s) and decoder(s)” with selected dataset(s)</w:t>
            </w:r>
          </w:p>
          <w:p>
            <w:pPr>
              <w:pStyle w:val="33"/>
              <w:keepNext w:val="0"/>
              <w:keepLines w:val="0"/>
              <w:widowControl/>
              <w:numPr>
                <w:ilvl w:val="3"/>
                <w:numId w:val="10"/>
              </w:numPr>
              <w:suppressLineNumbers w:val="0"/>
              <w:overflowPunct w:val="0"/>
              <w:autoSpaceDE w:val="0"/>
              <w:autoSpaceDN w:val="0"/>
              <w:adjustRightInd w:val="0"/>
              <w:spacing w:before="0" w:beforeAutospacing="0" w:after="120" w:afterAutospacing="0"/>
              <w:ind w:left="2268" w:right="0" w:hanging="283" w:firstLineChars="0"/>
              <w:textAlignment w:val="baseline"/>
              <w:rPr>
                <w:rFonts w:hint="default"/>
                <w:sz w:val="21"/>
                <w:szCs w:val="21"/>
                <w:lang w:eastAsia="zh-CN"/>
              </w:rPr>
            </w:pPr>
            <w:r>
              <w:rPr>
                <w:rFonts w:hint="default"/>
                <w:sz w:val="21"/>
                <w:szCs w:val="21"/>
                <w:lang w:eastAsia="zh-CN"/>
              </w:rPr>
              <w:t>Performance alignment to be checked/discussed</w:t>
            </w:r>
          </w:p>
          <w:p>
            <w:pPr>
              <w:pStyle w:val="33"/>
              <w:keepNext w:val="0"/>
              <w:keepLines w:val="0"/>
              <w:widowControl/>
              <w:numPr>
                <w:ilvl w:val="2"/>
                <w:numId w:val="10"/>
              </w:numPr>
              <w:suppressLineNumbers w:val="0"/>
              <w:overflowPunct w:val="0"/>
              <w:autoSpaceDE w:val="0"/>
              <w:autoSpaceDN w:val="0"/>
              <w:adjustRightInd w:val="0"/>
              <w:spacing w:before="0" w:beforeAutospacing="0" w:after="120" w:afterAutospacing="0"/>
              <w:ind w:left="426" w:right="0" w:firstLineChars="0"/>
              <w:textAlignment w:val="baseline"/>
              <w:rPr>
                <w:rFonts w:hint="default"/>
                <w:sz w:val="21"/>
                <w:szCs w:val="21"/>
                <w:lang w:eastAsia="zh-CN"/>
              </w:rPr>
            </w:pPr>
            <w:r>
              <w:rPr>
                <w:rFonts w:hint="default"/>
                <w:sz w:val="21"/>
                <w:szCs w:val="21"/>
                <w:lang w:eastAsia="zh-CN"/>
              </w:rPr>
              <w:t>Step 7: Conclude on overall feasibility of Option 4a</w:t>
            </w:r>
          </w:p>
          <w:p>
            <w:pPr>
              <w:pStyle w:val="33"/>
              <w:keepNext w:val="0"/>
              <w:keepLines w:val="0"/>
              <w:widowControl/>
              <w:numPr>
                <w:ilvl w:val="3"/>
                <w:numId w:val="10"/>
              </w:numPr>
              <w:suppressLineNumbers w:val="0"/>
              <w:overflowPunct w:val="0"/>
              <w:autoSpaceDE w:val="0"/>
              <w:autoSpaceDN w:val="0"/>
              <w:adjustRightInd w:val="0"/>
              <w:spacing w:before="0" w:beforeAutospacing="0" w:after="120" w:afterAutospacing="0"/>
              <w:ind w:left="2268" w:right="0" w:hanging="284" w:firstLineChars="0"/>
              <w:textAlignment w:val="baseline"/>
              <w:rPr>
                <w:rFonts w:hint="default" w:eastAsia="Yu Mincho"/>
                <w:sz w:val="21"/>
                <w:szCs w:val="21"/>
                <w:lang w:eastAsia="ja-JP"/>
              </w:rPr>
            </w:pPr>
            <w:r>
              <w:rPr>
                <w:rFonts w:hint="eastAsia" w:eastAsia="Yu Mincho"/>
                <w:sz w:val="21"/>
                <w:szCs w:val="21"/>
                <w:lang w:eastAsia="ja-JP"/>
              </w:rPr>
              <w:t xml:space="preserve">feasibility criteria to be discussed (e.g. </w:t>
            </w:r>
            <w:r>
              <w:rPr>
                <w:rFonts w:hint="default" w:eastAsia="Yu Mincho"/>
                <w:sz w:val="21"/>
                <w:szCs w:val="21"/>
                <w:lang w:eastAsia="ja-JP"/>
              </w:rPr>
              <w:t>Perform testing of all the UE encoders using all test decoders (replicating the process of testing UE’s against RAN4 requirements with different TE vendor decoders</w:t>
            </w:r>
            <w:r>
              <w:rPr>
                <w:rFonts w:hint="eastAsia" w:eastAsia="Yu Mincho"/>
                <w:sz w:val="21"/>
                <w:szCs w:val="21"/>
                <w:lang w:eastAsia="ja-JP"/>
              </w:rPr>
              <w:t xml:space="preserve">, others given in </w:t>
            </w:r>
            <w:r>
              <w:rPr>
                <w:rFonts w:hint="default" w:eastAsia="Yu Mincho"/>
                <w:sz w:val="21"/>
                <w:szCs w:val="21"/>
                <w:lang w:eastAsia="ja-JP"/>
              </w:rPr>
              <w:t>R4-2415376</w:t>
            </w:r>
            <w:r>
              <w:rPr>
                <w:rFonts w:hint="eastAsia" w:eastAsia="Yu Mincho"/>
                <w:sz w:val="21"/>
                <w:szCs w:val="21"/>
                <w:lang w:eastAsia="ja-JP"/>
              </w:rPr>
              <w:t xml:space="preserve">, etc </w:t>
            </w:r>
            <w:r>
              <w:rPr>
                <w:rFonts w:hint="default" w:eastAsia="Yu Mincho"/>
                <w:sz w:val="21"/>
                <w:szCs w:val="21"/>
                <w:lang w:eastAsia="ja-JP"/>
              </w:rPr>
              <w:t>).</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Yu Mincho"/>
                <w:szCs w:val="20"/>
                <w:lang w:eastAsia="ja-JP"/>
              </w:rPr>
            </w:pPr>
            <w:r>
              <w:rPr>
                <w:rFonts w:hint="eastAsia" w:eastAsia="Yu Mincho"/>
                <w:szCs w:val="20"/>
                <w:lang w:eastAsia="ja-JP"/>
              </w:rPr>
              <w:t xml:space="preserve">Encoder in step 5 should at least have the agreed structure. </w:t>
            </w:r>
            <w:r>
              <w:rPr>
                <w:rFonts w:hint="default" w:eastAsia="Yu Mincho"/>
                <w:szCs w:val="20"/>
                <w:lang w:eastAsia="ja-JP"/>
              </w:rPr>
              <w:t>C</w:t>
            </w:r>
            <w:r>
              <w:rPr>
                <w:rFonts w:hint="eastAsia" w:eastAsia="Yu Mincho"/>
                <w:szCs w:val="20"/>
                <w:lang w:eastAsia="ja-JP"/>
              </w:rPr>
              <w:t>ompanies can also bring analysis/results with other encoders(using different structures)</w:t>
            </w:r>
          </w:p>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b/>
                <w:bCs/>
                <w:i/>
                <w:iCs/>
                <w:szCs w:val="21"/>
                <w:vertAlign w:val="baseline"/>
                <w:lang w:val="en-US" w:eastAsia="zh-CN"/>
              </w:rPr>
            </w:pPr>
            <w:r>
              <w:rPr>
                <w:rFonts w:hint="default" w:eastAsia="Yu Mincho"/>
                <w:szCs w:val="24"/>
                <w:lang w:eastAsia="ja-JP"/>
              </w:rPr>
              <w:t>Selected test decoder and matching encoder pair from Option 3 can be used to generate the common dataset (that includes latent messages) based on aggregated/mixed dataset</w:t>
            </w:r>
          </w:p>
        </w:tc>
      </w:tr>
    </w:tbl>
    <w:p>
      <w:pPr>
        <w:rPr>
          <w:rFonts w:hint="default" w:cs="Times New Roman"/>
          <w:b w:val="0"/>
          <w:bCs/>
          <w:szCs w:val="20"/>
          <w:u w:val="none"/>
          <w:lang w:val="en-US" w:eastAsia="zh-CN"/>
        </w:rPr>
      </w:pPr>
      <w:r>
        <w:rPr>
          <w:b/>
          <w:u w:val="single"/>
          <w:lang w:eastAsia="ko-KR"/>
        </w:rPr>
        <w:t>Option 4</w:t>
      </w:r>
      <w:r>
        <w:rPr>
          <w:rFonts w:eastAsia="Yu Mincho"/>
          <w:b/>
          <w:u w:val="single"/>
          <w:lang w:eastAsia="ja-JP"/>
        </w:rPr>
        <w:t xml:space="preserve">b </w:t>
      </w:r>
      <w:r>
        <w:rPr>
          <w:rFonts w:hint="eastAsia" w:eastAsia="Yu Mincho"/>
          <w:b/>
          <w:u w:val="single"/>
          <w:lang w:eastAsia="ja-JP"/>
        </w:rPr>
        <w:t>(</w:t>
      </w:r>
      <w:r>
        <w:rPr>
          <w:rFonts w:eastAsia="Yu Mincho"/>
          <w:b/>
          <w:u w:val="single"/>
          <w:lang w:eastAsia="ja-JP"/>
        </w:rPr>
        <w:t>encoder</w:t>
      </w:r>
      <w:r>
        <w:rPr>
          <w:rFonts w:hint="eastAsia" w:eastAsia="Yu Mincho"/>
          <w:b/>
          <w:u w:val="single"/>
          <w:lang w:eastAsia="ja-JP"/>
        </w:rPr>
        <w:t xml:space="preserve"> based)</w:t>
      </w:r>
      <w:r>
        <w:rPr>
          <w:b/>
          <w:u w:val="single"/>
          <w:lang w:eastAsia="ko-KR"/>
        </w:rPr>
        <w:t xml:space="preserve"> for 2-sided model</w:t>
      </w:r>
      <w:r>
        <w:rPr>
          <w:rFonts w:hint="eastAsia" w:eastAsia="Yu Mincho"/>
          <w:b/>
          <w:u w:val="single"/>
          <w:lang w:eastAsia="ja-JP"/>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sz w:val="21"/>
                <w:szCs w:val="21"/>
                <w:lang w:eastAsia="zh-CN"/>
              </w:rPr>
            </w:pPr>
            <w:r>
              <w:rPr>
                <w:rFonts w:hint="eastAsia"/>
                <w:sz w:val="21"/>
                <w:szCs w:val="21"/>
                <w:lang w:eastAsia="zh-CN"/>
              </w:rPr>
              <w:t>S</w:t>
            </w:r>
            <w:r>
              <w:rPr>
                <w:rFonts w:hint="default"/>
                <w:sz w:val="21"/>
                <w:szCs w:val="21"/>
                <w:lang w:eastAsia="zh-CN"/>
              </w:rPr>
              <w:t>tep 1-3: Reuse results of Option 3</w:t>
            </w:r>
          </w:p>
          <w:p>
            <w:pPr>
              <w:pStyle w:val="33"/>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sz w:val="21"/>
                <w:szCs w:val="21"/>
                <w:lang w:eastAsia="zh-CN"/>
              </w:rPr>
            </w:pPr>
            <w:r>
              <w:rPr>
                <w:rFonts w:hint="default"/>
                <w:sz w:val="21"/>
                <w:szCs w:val="21"/>
                <w:lang w:eastAsia="zh-CN"/>
              </w:rPr>
              <w:t>Step 4: Select one or more encoder(s) for further analysis based on option 3</w:t>
            </w:r>
          </w:p>
          <w:p>
            <w:pPr>
              <w:pStyle w:val="33"/>
              <w:keepNext w:val="0"/>
              <w:keepLines w:val="0"/>
              <w:widowControl/>
              <w:numPr>
                <w:ilvl w:val="1"/>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sz w:val="21"/>
                <w:szCs w:val="21"/>
                <w:lang w:eastAsia="zh-CN"/>
              </w:rPr>
            </w:pPr>
            <w:r>
              <w:rPr>
                <w:rFonts w:hint="default"/>
                <w:sz w:val="21"/>
                <w:szCs w:val="21"/>
                <w:lang w:eastAsia="zh-CN"/>
              </w:rPr>
              <w:t>Selection criteria: select the encoder(s) from the selected encoder and decoder pair(s) of Option 3 track 1</w:t>
            </w:r>
          </w:p>
          <w:p>
            <w:pPr>
              <w:pStyle w:val="33"/>
              <w:keepNext w:val="0"/>
              <w:keepLines w:val="0"/>
              <w:widowControl/>
              <w:numPr>
                <w:ilvl w:val="1"/>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sz w:val="21"/>
                <w:szCs w:val="21"/>
                <w:lang w:eastAsia="zh-CN"/>
              </w:rPr>
            </w:pPr>
            <w:r>
              <w:rPr>
                <w:rFonts w:hint="default"/>
                <w:sz w:val="21"/>
                <w:szCs w:val="21"/>
                <w:lang w:eastAsia="zh-CN"/>
              </w:rPr>
              <w:t>Or encoder(s) from the selected encoder and decoder pair(s) of Option 3 track 2</w:t>
            </w:r>
          </w:p>
          <w:p>
            <w:pPr>
              <w:pStyle w:val="33"/>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sz w:val="21"/>
                <w:szCs w:val="21"/>
                <w:lang w:eastAsia="zh-CN"/>
              </w:rPr>
            </w:pPr>
            <w:r>
              <w:rPr>
                <w:rFonts w:hint="default"/>
                <w:sz w:val="21"/>
                <w:szCs w:val="21"/>
                <w:lang w:eastAsia="zh-CN"/>
              </w:rPr>
              <w:t>Step 5: Company brings results for training of “own decoder(s)” with selected encoder(s)</w:t>
            </w:r>
          </w:p>
          <w:p>
            <w:pPr>
              <w:pStyle w:val="33"/>
              <w:keepNext w:val="0"/>
              <w:keepLines w:val="0"/>
              <w:widowControl/>
              <w:numPr>
                <w:ilvl w:val="1"/>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sz w:val="21"/>
                <w:szCs w:val="21"/>
                <w:lang w:eastAsia="zh-CN"/>
              </w:rPr>
            </w:pPr>
            <w:r>
              <w:rPr>
                <w:rFonts w:hint="default"/>
                <w:sz w:val="21"/>
                <w:szCs w:val="21"/>
                <w:lang w:eastAsia="zh-CN"/>
              </w:rPr>
              <w:t>Performance alignment to be checked/discussed</w:t>
            </w:r>
          </w:p>
          <w:p>
            <w:pPr>
              <w:pStyle w:val="33"/>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sz w:val="21"/>
                <w:szCs w:val="21"/>
                <w:lang w:eastAsia="zh-CN"/>
              </w:rPr>
            </w:pPr>
            <w:r>
              <w:rPr>
                <w:rFonts w:hint="default"/>
                <w:sz w:val="21"/>
                <w:szCs w:val="21"/>
                <w:lang w:eastAsia="zh-CN"/>
              </w:rPr>
              <w:t>Step 6: Conclude on overall feasibility of Option 4b</w:t>
            </w:r>
          </w:p>
          <w:p>
            <w:pPr>
              <w:pStyle w:val="33"/>
              <w:keepNext w:val="0"/>
              <w:keepLines w:val="0"/>
              <w:widowControl/>
              <w:numPr>
                <w:ilvl w:val="1"/>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sz w:val="21"/>
                <w:szCs w:val="21"/>
                <w:lang w:eastAsia="zh-CN"/>
              </w:rPr>
            </w:pPr>
            <w:r>
              <w:rPr>
                <w:rFonts w:hint="default"/>
                <w:sz w:val="21"/>
                <w:szCs w:val="21"/>
                <w:lang w:eastAsia="zh-CN"/>
              </w:rPr>
              <w:t>Feasibility criteria to be discussed (e.g. Perform testing of all the UE encoders using all test decoders (replicating the process of testing UE’s against RAN4 requirements with different TE vendor decoders, others given in R4-2415376, etc ).</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cs="Times New Roman"/>
                <w:b w:val="0"/>
                <w:bCs/>
                <w:szCs w:val="20"/>
                <w:u w:val="none"/>
                <w:vertAlign w:val="baseline"/>
                <w:lang w:val="en-US" w:eastAsia="zh-CN"/>
              </w:rPr>
            </w:pPr>
            <w:r>
              <w:rPr>
                <w:rFonts w:hint="default" w:eastAsia="Yu Mincho"/>
                <w:sz w:val="21"/>
                <w:szCs w:val="21"/>
                <w:lang w:eastAsia="ja-JP"/>
              </w:rPr>
              <w:t>Encoder in step 5 should at least have the agreed structure. Companies can also bring analysis/results with other encoders (using different structures)</w:t>
            </w:r>
          </w:p>
        </w:tc>
      </w:tr>
    </w:tbl>
    <w:p>
      <w:pPr>
        <w:rPr>
          <w:rFonts w:hint="eastAsia" w:cs="Times New Roman"/>
          <w:b w:val="0"/>
          <w:bCs/>
          <w:szCs w:val="20"/>
          <w:u w:val="none"/>
          <w:lang w:val="en-US" w:eastAsia="zh-CN"/>
        </w:rPr>
      </w:pPr>
      <w:r>
        <w:rPr>
          <w:rFonts w:hint="default" w:ascii="Times New Roman" w:hAnsi="Times New Roman" w:cs="Times New Roman"/>
          <w:b w:val="0"/>
          <w:bCs/>
          <w:szCs w:val="20"/>
          <w:u w:val="none"/>
          <w:lang w:val="en-US" w:eastAsia="zh-CN"/>
        </w:rPr>
        <w:t>At the previous meeting, RAN4 deliberated on potential candidate options for option 4, namely the means of achieving interoperability between DUT vendors and TE vendors.</w:t>
      </w:r>
      <w:r>
        <w:rPr>
          <w:rFonts w:hint="eastAsia" w:ascii="Times New Roman" w:hAnsi="Times New Roman" w:cs="Times New Roman"/>
          <w:b w:val="0"/>
          <w:bCs/>
          <w:szCs w:val="20"/>
          <w:u w:val="none"/>
          <w:lang w:val="en-US" w:eastAsia="zh-CN"/>
        </w:rPr>
        <w:t xml:space="preserve"> In T</w:t>
      </w:r>
      <w:r>
        <w:rPr>
          <w:rFonts w:hint="eastAsia" w:cs="Times New Roman"/>
          <w:b w:val="0"/>
          <w:bCs/>
          <w:szCs w:val="20"/>
          <w:u w:val="none"/>
          <w:lang w:val="en-US" w:eastAsia="zh-CN"/>
        </w:rPr>
        <w:t>R</w:t>
      </w:r>
      <w:r>
        <w:rPr>
          <w:rFonts w:hint="eastAsia" w:ascii="Times New Roman" w:hAnsi="Times New Roman" w:cs="Times New Roman"/>
          <w:b w:val="0"/>
          <w:bCs/>
          <w:szCs w:val="20"/>
          <w:u w:val="none"/>
          <w:lang w:val="en-US" w:eastAsia="zh-CN"/>
        </w:rPr>
        <w:t xml:space="preserve"> 38.843, </w:t>
      </w:r>
      <w:r>
        <w:rPr>
          <w:rFonts w:hint="eastAsia" w:cs="Times New Roman"/>
          <w:b w:val="0"/>
          <w:bCs/>
          <w:szCs w:val="20"/>
          <w:u w:val="none"/>
          <w:lang w:val="en-US" w:eastAsia="zh-CN"/>
        </w:rPr>
        <w:t>RAN4</w:t>
      </w:r>
      <w:r>
        <w:rPr>
          <w:rFonts w:hint="eastAsia" w:ascii="Times New Roman" w:hAnsi="Times New Roman" w:cs="Times New Roman"/>
          <w:b w:val="0"/>
          <w:bCs/>
          <w:szCs w:val="20"/>
          <w:u w:val="none"/>
          <w:lang w:val="en-US" w:eastAsia="zh-CN"/>
        </w:rPr>
        <w:t xml:space="preserve"> defined partial knowledge in RAN4 specification for decoder to achieve interoperability. With regard to this partial knowledge of the decoder, it can bring more flexible approach</w:t>
      </w:r>
      <w:r>
        <w:rPr>
          <w:rFonts w:hint="eastAsia" w:cs="Times New Roman"/>
          <w:b w:val="0"/>
          <w:bCs/>
          <w:szCs w:val="20"/>
          <w:u w:val="none"/>
          <w:lang w:val="en-US" w:eastAsia="zh-CN"/>
        </w:rPr>
        <w:t>es</w:t>
      </w:r>
      <w:r>
        <w:rPr>
          <w:rFonts w:hint="eastAsia" w:ascii="Times New Roman" w:hAnsi="Times New Roman" w:cs="Times New Roman"/>
          <w:b w:val="0"/>
          <w:bCs/>
          <w:szCs w:val="20"/>
          <w:u w:val="none"/>
          <w:lang w:val="en-US" w:eastAsia="zh-CN"/>
        </w:rPr>
        <w:t xml:space="preserve"> for TE vendors. </w:t>
      </w:r>
      <w:r>
        <w:rPr>
          <w:rFonts w:hint="eastAsia" w:cs="Times New Roman"/>
          <w:b w:val="0"/>
          <w:bCs/>
          <w:szCs w:val="20"/>
          <w:u w:val="none"/>
          <w:lang w:val="en-US" w:eastAsia="zh-CN"/>
        </w:rPr>
        <w:t xml:space="preserve">To ensure interoperability, RAN4 needs to define more knowledge between DUT and TE side. After numerous discussions at meetings, RAN4 agreed two approaches to study the feasibility of Option 4, dataset based and encoder based. In generally, to achieve the interoperability, decoder is designed by TE vendor, DUT vendor needs to ensure that the encoder can be paired with decoder. </w:t>
      </w:r>
    </w:p>
    <w:p>
      <w:pPr>
        <w:rPr>
          <w:rFonts w:hint="eastAsia" w:cs="Times New Roman"/>
          <w:b w:val="0"/>
          <w:bCs/>
          <w:szCs w:val="20"/>
          <w:u w:val="none"/>
          <w:lang w:val="en-US" w:eastAsia="zh-CN"/>
        </w:rPr>
      </w:pPr>
      <w:r>
        <w:rPr>
          <w:rFonts w:hint="eastAsia" w:cs="Times New Roman"/>
          <w:b w:val="0"/>
          <w:bCs/>
          <w:szCs w:val="20"/>
          <w:u w:val="none"/>
          <w:lang w:val="en-US" w:eastAsia="zh-CN"/>
        </w:rPr>
        <w:t xml:space="preserve">For the above steps, steps 1~3 need to reuse the results of Option3. From the perspective of simulation evaluation, this is entirely feasible. The next step is about how to chose the dataset, the dataset generated from the selected encoder an decoder pair or mixed dataset. For the first approach, the dataset generated from the selected reference model. The datasets correspond one to one with the reference models. RAN4 needs to make sure that the results provided by all companies based on the reference mode and datasets are consistent. Then, RAN4 can go to the next step. And for the track 2 with mixed dataset, without a doubt, the final result of SGCS is inferior to that of the track 1. </w:t>
      </w:r>
    </w:p>
    <w:p>
      <w:pPr>
        <w:rPr>
          <w:rFonts w:hint="default" w:cs="Times New Roman"/>
          <w:b w:val="0"/>
          <w:bCs/>
          <w:szCs w:val="20"/>
          <w:u w:val="none"/>
          <w:lang w:val="en-US" w:eastAsia="zh-CN"/>
        </w:rPr>
      </w:pPr>
      <w:r>
        <w:rPr>
          <w:rFonts w:hint="eastAsia" w:cs="Times New Roman"/>
          <w:b w:val="0"/>
          <w:bCs/>
          <w:szCs w:val="20"/>
          <w:u w:val="none"/>
          <w:lang w:val="en-US" w:eastAsia="zh-CN"/>
        </w:rPr>
        <w:t xml:space="preserve">Regarding step 5, the selected dataset corresponding to the selected test decoders, encoder should at least have the agreed structure. In previous steps, we selected test decoders based on the dataset. Thus, TE vendor can use this to test the encoder of DUT vendor. Because different DUT vendors may have different types of encoder. RAN4 needs to consider different structures at least, also needs to evaluate the differences between encoder and decoder structures to ensure that this approach can work. </w:t>
      </w:r>
    </w:p>
    <w:p>
      <w:pPr>
        <w:rPr>
          <w:rFonts w:hint="eastAsia" w:cs="Times New Roman"/>
          <w:b w:val="0"/>
          <w:bCs/>
          <w:szCs w:val="20"/>
          <w:u w:val="none"/>
          <w:lang w:val="en-US" w:eastAsia="zh-CN"/>
        </w:rPr>
      </w:pPr>
      <w:r>
        <w:rPr>
          <w:rFonts w:hint="eastAsia" w:cs="Times New Roman"/>
          <w:b w:val="0"/>
          <w:bCs/>
          <w:szCs w:val="20"/>
          <w:u w:val="none"/>
          <w:lang w:val="en-US" w:eastAsia="zh-CN"/>
        </w:rPr>
        <w:t xml:space="preserve">For the step 7 of feasibility criteria, to achieve interoperability, RAN4 needs to check that whether all test decoders and encoders can derive same performance for different structure. For the previous agreed steps, RAN4 assumes that the encoder and decoder have the same structure, the simulation evaluation also based on the same assumption. However, in practical implementation, it is very hard to ensure that all DUT vendors have the same structure of the encoder, TE vendors also may have different implementations for test decoders. The matching problem between encoders and decoders with different structures is particularly common, so it is necessary to study the matching of different structural structures. In other words, the feasibility of Option4a and Option 4b need to perform testing all the DUT encoders using all test decoders. The reason is that the test decoder is implemented by different TE vendors. Ensuring that all TE vendors based on a uniform structure poses a challenge. Moreover, RAN4 allows a certain degree of flexibility for the test decoder. From RAN4 conformance testing perspective, RAN4 expects that all testing results from different TE vendors should be consistent. </w:t>
      </w:r>
    </w:p>
    <w:p>
      <w:pPr>
        <w:jc w:val="both"/>
        <w:rPr>
          <w:rFonts w:hint="default"/>
          <w:b/>
          <w:bCs/>
          <w:i/>
          <w:iCs/>
          <w:szCs w:val="21"/>
          <w:lang w:val="en-US" w:eastAsia="zh-CN"/>
        </w:rPr>
      </w:pPr>
      <w:r>
        <w:rPr>
          <w:rFonts w:hint="eastAsia"/>
          <w:b/>
          <w:bCs/>
          <w:i/>
          <w:iCs/>
          <w:szCs w:val="21"/>
          <w:lang w:val="en-US" w:eastAsia="zh-CN"/>
        </w:rPr>
        <w:t xml:space="preserve">Observation 4. The selection criteria for Option 4 could be waiting for the results of Option 3. </w:t>
      </w:r>
    </w:p>
    <w:p>
      <w:pPr>
        <w:jc w:val="both"/>
        <w:rPr>
          <w:rFonts w:hint="default"/>
          <w:b/>
          <w:bCs/>
          <w:i/>
          <w:iCs/>
          <w:szCs w:val="21"/>
          <w:lang w:val="en-US" w:eastAsia="zh-CN"/>
        </w:rPr>
      </w:pPr>
      <w:r>
        <w:rPr>
          <w:rFonts w:hint="eastAsia"/>
          <w:b/>
          <w:bCs/>
          <w:i/>
          <w:iCs/>
          <w:szCs w:val="21"/>
          <w:lang w:val="en-US" w:eastAsia="zh-CN"/>
        </w:rPr>
        <w:t xml:space="preserve">Proposal 2. For option 4 with partial knowledge for test decoder, RAN4 needs to check that whether all test decoders and encoders can derive same performance for different structure. </w:t>
      </w:r>
    </w:p>
    <w:p>
      <w:pPr>
        <w:widowControl w:val="0"/>
        <w:spacing w:beforeLines="100" w:afterLines="0" w:line="240" w:lineRule="auto"/>
        <w:jc w:val="both"/>
        <w:rPr>
          <w:rFonts w:hint="default" w:cs="Times New Roman"/>
          <w:kern w:val="2"/>
          <w:sz w:val="21"/>
          <w:lang w:val="en-US" w:eastAsia="zh-CN" w:bidi="ar-SA"/>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 xml:space="preserve">we give some </w:t>
      </w:r>
      <w:r>
        <w:rPr>
          <w:rFonts w:hint="eastAsia"/>
          <w:bCs/>
          <w:kern w:val="0"/>
          <w:szCs w:val="21"/>
          <w:lang w:val="en-US" w:eastAsia="zh-CN"/>
        </w:rPr>
        <w:t xml:space="preserve">detailed </w:t>
      </w:r>
      <w:r>
        <w:rPr>
          <w:rFonts w:hint="eastAsia"/>
          <w:bCs/>
          <w:kern w:val="0"/>
          <w:szCs w:val="21"/>
        </w:rPr>
        <w:t>discussions on testability and interoperability issues for AI-CSI , The conclusions are:</w:t>
      </w:r>
    </w:p>
    <w:p>
      <w:pPr>
        <w:jc w:val="both"/>
        <w:rPr>
          <w:rFonts w:hint="eastAsia"/>
          <w:b/>
          <w:bCs/>
          <w:i/>
          <w:iCs/>
          <w:szCs w:val="21"/>
          <w:lang w:val="en-US" w:eastAsia="zh-CN"/>
        </w:rPr>
      </w:pPr>
      <w:r>
        <w:rPr>
          <w:rFonts w:hint="eastAsia"/>
          <w:b/>
          <w:bCs/>
          <w:i/>
          <w:iCs/>
          <w:szCs w:val="21"/>
          <w:lang w:val="en-US" w:eastAsia="zh-CN"/>
        </w:rPr>
        <w:t>Observation 1. The output data structures from some companies deviate from previous meeting conclusions, which also implies that the dimensions of the training datasets did not align with the previous meeting conclusions.</w:t>
      </w:r>
    </w:p>
    <w:p>
      <w:pPr>
        <w:jc w:val="both"/>
        <w:rPr>
          <w:rFonts w:hint="default"/>
          <w:b/>
          <w:bCs/>
          <w:i/>
          <w:iCs/>
          <w:szCs w:val="21"/>
          <w:lang w:val="en-US" w:eastAsia="zh-CN"/>
        </w:rPr>
      </w:pPr>
      <w:r>
        <w:rPr>
          <w:rFonts w:hint="eastAsia"/>
          <w:b/>
          <w:bCs/>
          <w:i/>
          <w:iCs/>
          <w:szCs w:val="21"/>
          <w:lang w:val="en-US" w:eastAsia="zh-CN"/>
        </w:rPr>
        <w:t xml:space="preserve">Observation 2. The results from the mixed dataset show degradation compared to our previous results for 2bits scalar quantization and without quantization.  </w:t>
      </w:r>
    </w:p>
    <w:p>
      <w:pPr>
        <w:jc w:val="both"/>
        <w:rPr>
          <w:rFonts w:hint="eastAsia"/>
          <w:b/>
          <w:bCs/>
          <w:i/>
          <w:iCs/>
          <w:szCs w:val="21"/>
          <w:lang w:val="en-US" w:eastAsia="zh-CN"/>
        </w:rPr>
      </w:pPr>
      <w:r>
        <w:rPr>
          <w:rFonts w:hint="eastAsia"/>
          <w:b/>
          <w:bCs/>
          <w:i/>
          <w:iCs/>
          <w:szCs w:val="21"/>
          <w:lang w:val="en-US" w:eastAsia="zh-CN"/>
        </w:rPr>
        <w:t xml:space="preserve">Observation 3. The training data has an impact on performance. </w:t>
      </w:r>
    </w:p>
    <w:p>
      <w:pPr>
        <w:jc w:val="both"/>
        <w:rPr>
          <w:rFonts w:hint="eastAsia"/>
          <w:b/>
          <w:bCs/>
          <w:i/>
          <w:iCs/>
          <w:szCs w:val="21"/>
          <w:lang w:val="en-US" w:eastAsia="zh-CN"/>
        </w:rPr>
      </w:pPr>
      <w:r>
        <w:rPr>
          <w:rFonts w:hint="eastAsia"/>
          <w:b/>
          <w:bCs/>
          <w:i/>
          <w:iCs/>
          <w:szCs w:val="21"/>
          <w:lang w:val="en-US" w:eastAsia="zh-CN"/>
        </w:rPr>
        <w:t xml:space="preserve">Observation 4. The selection criteria for Option 4 could be waiting for the results of Option 3. </w:t>
      </w:r>
    </w:p>
    <w:p>
      <w:pPr>
        <w:jc w:val="both"/>
        <w:rPr>
          <w:rFonts w:hint="eastAsia"/>
          <w:b/>
          <w:bCs/>
          <w:i/>
          <w:iCs/>
          <w:szCs w:val="21"/>
          <w:lang w:val="en-US" w:eastAsia="zh-CN"/>
        </w:rPr>
      </w:pPr>
      <w:r>
        <w:rPr>
          <w:rFonts w:hint="eastAsia"/>
          <w:b/>
          <w:bCs/>
          <w:i/>
          <w:iCs/>
          <w:szCs w:val="21"/>
          <w:lang w:val="en-US" w:eastAsia="zh-CN"/>
        </w:rPr>
        <w:t>Proposal 1. Propose to completely align the decoder- related parameters, input/output formats, quantization, etc.</w:t>
      </w:r>
    </w:p>
    <w:p>
      <w:pPr>
        <w:jc w:val="both"/>
        <w:rPr>
          <w:rFonts w:hint="default"/>
          <w:b/>
          <w:bCs/>
          <w:i/>
          <w:iCs/>
          <w:szCs w:val="21"/>
          <w:lang w:val="en-US" w:eastAsia="zh-CN"/>
        </w:rPr>
      </w:pPr>
      <w:r>
        <w:rPr>
          <w:rFonts w:hint="eastAsia"/>
          <w:b/>
          <w:bCs/>
          <w:i/>
          <w:iCs/>
          <w:szCs w:val="21"/>
          <w:lang w:val="en-US" w:eastAsia="zh-CN"/>
        </w:rPr>
        <w:t xml:space="preserve">Proposal 2. For option 4 with partial knowledge for test decoder, RAN4 needs to check that whether all test decoders and encoders can derive same performance for different structure. </w:t>
      </w:r>
    </w:p>
    <w:p>
      <w:pPr>
        <w:widowControl w:val="0"/>
        <w:spacing w:beforeLines="100" w:afterLines="0" w:line="240" w:lineRule="auto"/>
        <w:jc w:val="left"/>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11"/>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 xml:space="preserve">RP-234039, New WID on Artificial Intelligence (AI)/Machine Learning (ML) for NR Air Interface. </w:t>
      </w:r>
    </w:p>
    <w:p>
      <w:pPr>
        <w:pStyle w:val="33"/>
        <w:numPr>
          <w:ilvl w:val="0"/>
          <w:numId w:val="11"/>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R4-2417212, WF on requirements for AI/ML air interface.</w:t>
      </w:r>
    </w:p>
    <w:p>
      <w:pPr>
        <w:pStyle w:val="33"/>
        <w:numPr>
          <w:ilvl w:val="0"/>
          <w:numId w:val="11"/>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3GPP TS38.101-4.</w:t>
      </w:r>
    </w:p>
    <w:p>
      <w:pPr>
        <w:pStyle w:val="33"/>
        <w:numPr>
          <w:ilvl w:val="0"/>
          <w:numId w:val="0"/>
        </w:numPr>
        <w:spacing w:afterLines="0" w:line="259" w:lineRule="auto"/>
        <w:ind w:right="-22" w:rightChars="0"/>
        <w:jc w:val="left"/>
        <w:rPr>
          <w:rFonts w:eastAsiaTheme="minorHAnsi" w:cstheme="minorBidi"/>
          <w:kern w:val="0"/>
          <w:sz w:val="21"/>
          <w:szCs w:val="21"/>
          <w:lang w:eastAsia="en-US"/>
        </w:rPr>
      </w:pPr>
    </w:p>
    <w:p>
      <w:pPr>
        <w:rPr>
          <w:rFonts w:eastAsiaTheme="minorHAnsi" w:cstheme="minorBidi"/>
          <w:kern w:val="0"/>
          <w:sz w:val="21"/>
          <w:szCs w:val="21"/>
          <w:lang w:eastAsia="en-US"/>
        </w:rPr>
      </w:pPr>
      <w:r>
        <w:rPr>
          <w:rFonts w:hint="default" w:eastAsia="宋体" w:cstheme="minorBidi"/>
          <w:kern w:val="0"/>
          <w:sz w:val="21"/>
          <w:szCs w:val="21"/>
          <w:lang w:val="en-US" w:eastAsia="zh-CN"/>
        </w:rPr>
        <w:br w:type="page"/>
      </w:r>
    </w:p>
    <w:p>
      <w:pPr>
        <w:pStyle w:val="33"/>
        <w:numPr>
          <w:ilvl w:val="0"/>
          <w:numId w:val="0"/>
        </w:numPr>
        <w:spacing w:afterLines="0" w:line="259" w:lineRule="auto"/>
        <w:ind w:right="-22" w:rightChars="0"/>
        <w:jc w:val="left"/>
        <w:rPr>
          <w:rFonts w:eastAsiaTheme="minorHAnsi" w:cstheme="minorBidi"/>
          <w:kern w:val="0"/>
          <w:sz w:val="21"/>
          <w:szCs w:val="21"/>
          <w:lang w:eastAsia="en-US"/>
        </w:rPr>
      </w:pPr>
    </w:p>
    <w:p>
      <w:pPr>
        <w:widowControl w:val="0"/>
        <w:pBdr>
          <w:top w:val="single" w:color="auto" w:sz="12" w:space="3"/>
        </w:pBdr>
        <w:spacing w:beforeLines="0" w:afterLines="0"/>
        <w:jc w:val="left"/>
        <w:outlineLvl w:val="0"/>
        <w:rPr>
          <w:rFonts w:hint="eastAsia"/>
          <w:b/>
          <w:kern w:val="0"/>
          <w:sz w:val="24"/>
          <w:szCs w:val="24"/>
          <w:lang w:val="en-US" w:eastAsia="zh-CN"/>
        </w:rPr>
      </w:pPr>
      <w:r>
        <w:rPr>
          <w:rFonts w:hint="eastAsia"/>
          <w:b/>
          <w:kern w:val="0"/>
          <w:sz w:val="24"/>
          <w:szCs w:val="24"/>
          <w:lang w:val="en-US" w:eastAsia="zh-CN"/>
        </w:rPr>
        <w:t>5</w:t>
      </w:r>
      <w:r>
        <w:rPr>
          <w:rFonts w:hint="eastAsia"/>
          <w:b/>
          <w:kern w:val="0"/>
          <w:sz w:val="24"/>
          <w:szCs w:val="24"/>
        </w:rPr>
        <w:t xml:space="preserve"> </w:t>
      </w:r>
      <w:r>
        <w:rPr>
          <w:rFonts w:hint="eastAsia"/>
          <w:b/>
          <w:kern w:val="0"/>
          <w:sz w:val="24"/>
          <w:szCs w:val="24"/>
          <w:lang w:val="en-US" w:eastAsia="zh-CN"/>
        </w:rPr>
        <w:t>Appendix</w:t>
      </w:r>
    </w:p>
    <w:p>
      <w:pPr>
        <w:widowControl w:val="0"/>
        <w:pBdr>
          <w:top w:val="single" w:color="auto" w:sz="12" w:space="3"/>
        </w:pBdr>
        <w:spacing w:beforeLines="0" w:afterLines="0"/>
        <w:jc w:val="left"/>
        <w:outlineLvl w:val="9"/>
        <w:rPr>
          <w:rFonts w:hint="eastAsia"/>
          <w:b/>
          <w:kern w:val="0"/>
          <w:sz w:val="24"/>
          <w:szCs w:val="24"/>
          <w:lang w:val="en-US" w:eastAsia="zh-CN"/>
        </w:rPr>
      </w:pPr>
    </w:p>
    <w:p>
      <w:pPr>
        <w:widowControl w:val="0"/>
        <w:numPr>
          <w:ilvl w:val="0"/>
          <w:numId w:val="12"/>
        </w:numPr>
        <w:pBdr>
          <w:top w:val="single" w:color="auto" w:sz="12" w:space="3"/>
        </w:pBdr>
        <w:spacing w:beforeLines="0" w:afterLines="0"/>
        <w:jc w:val="left"/>
        <w:outlineLvl w:val="9"/>
        <w:rPr>
          <w:rFonts w:hint="default"/>
          <w:b/>
          <w:kern w:val="0"/>
          <w:sz w:val="24"/>
          <w:szCs w:val="24"/>
          <w:lang w:val="en-US" w:eastAsia="zh-CN"/>
        </w:rPr>
      </w:pPr>
      <w:r>
        <w:rPr>
          <w:rFonts w:hint="eastAsia"/>
          <w:b/>
          <w:kern w:val="0"/>
          <w:sz w:val="24"/>
          <w:szCs w:val="24"/>
          <w:lang w:val="en-US" w:eastAsia="zh-CN"/>
        </w:rPr>
        <w:t>System simulation assumption</w:t>
      </w:r>
    </w:p>
    <w:p>
      <w:pPr>
        <w:widowControl w:val="0"/>
        <w:numPr>
          <w:ilvl w:val="0"/>
          <w:numId w:val="0"/>
        </w:numPr>
        <w:pBdr>
          <w:top w:val="single" w:color="auto" w:sz="12" w:space="3"/>
        </w:pBdr>
        <w:spacing w:beforeLines="0" w:afterLines="0"/>
        <w:jc w:val="left"/>
        <w:outlineLvl w:val="9"/>
        <w:rPr>
          <w:rFonts w:hint="default"/>
          <w:b/>
          <w:kern w:val="0"/>
          <w:sz w:val="24"/>
          <w:szCs w:val="24"/>
          <w:lang w:val="en-US" w:eastAsia="zh-CN"/>
        </w:rPr>
      </w:pPr>
    </w:p>
    <w:p>
      <w:pPr>
        <w:widowControl w:val="0"/>
        <w:pBdr>
          <w:top w:val="single" w:color="auto" w:sz="12" w:space="3"/>
        </w:pBdr>
        <w:spacing w:beforeLines="0" w:afterLines="0"/>
        <w:jc w:val="center"/>
        <w:outlineLvl w:val="9"/>
        <w:rPr>
          <w:rFonts w:hint="default"/>
          <w:b w:val="0"/>
          <w:bCs/>
          <w:kern w:val="0"/>
          <w:sz w:val="21"/>
          <w:szCs w:val="21"/>
          <w:lang w:val="en-US" w:eastAsia="zh-CN"/>
        </w:rPr>
      </w:pPr>
      <w:r>
        <w:rPr>
          <w:rFonts w:hint="eastAsia"/>
          <w:b w:val="0"/>
          <w:bCs/>
          <w:kern w:val="0"/>
          <w:sz w:val="21"/>
          <w:szCs w:val="21"/>
          <w:lang w:val="en-US" w:eastAsia="zh-CN"/>
        </w:rPr>
        <w:t>Table 5-1. System simulation assumptions for training data</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1642"/>
        <w:gridCol w:w="5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shd w:val="clear" w:color="auto" w:fill="D9D9D9"/>
          </w:tcPr>
          <w:p>
            <w:pPr>
              <w:pStyle w:val="64"/>
              <w:widowControl/>
              <w:suppressLineNumbers w:val="0"/>
              <w:spacing w:before="0" w:beforeAutospacing="0" w:after="0" w:afterAutospacing="0" w:line="256" w:lineRule="auto"/>
              <w:ind w:left="0" w:right="0"/>
              <w:rPr>
                <w:rFonts w:hint="default"/>
                <w:szCs w:val="20"/>
              </w:rPr>
            </w:pPr>
            <w:r>
              <w:rPr>
                <w:rFonts w:hint="default"/>
                <w:szCs w:val="20"/>
              </w:rPr>
              <w:t>Parameter</w:t>
            </w:r>
          </w:p>
        </w:tc>
        <w:tc>
          <w:tcPr>
            <w:tcW w:w="5621" w:type="dxa"/>
            <w:tcBorders>
              <w:top w:val="single" w:color="auto" w:sz="4" w:space="0"/>
              <w:left w:val="single" w:color="auto" w:sz="4" w:space="0"/>
              <w:bottom w:val="single" w:color="auto" w:sz="4" w:space="0"/>
              <w:right w:val="single" w:color="auto" w:sz="4" w:space="0"/>
            </w:tcBorders>
            <w:shd w:val="clear" w:color="auto" w:fill="D9D9D9"/>
          </w:tcPr>
          <w:p>
            <w:pPr>
              <w:pStyle w:val="64"/>
              <w:widowControl/>
              <w:suppressLineNumbers w:val="0"/>
              <w:spacing w:before="0" w:beforeAutospacing="0" w:after="0" w:afterAutospacing="0" w:line="256" w:lineRule="auto"/>
              <w:ind w:left="0" w:right="0"/>
              <w:rPr>
                <w:rFonts w:hint="default"/>
                <w:szCs w:val="20"/>
              </w:rPr>
            </w:pPr>
            <w:r>
              <w:rPr>
                <w:rFonts w:hint="default"/>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Duplex, Waveform</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zCs w:val="20"/>
              </w:rPr>
              <w:t>FDD, OFDM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Multiple access</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zCs w:val="20"/>
              </w:rPr>
              <w:t>OFDMA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Scenario</w:t>
            </w:r>
          </w:p>
        </w:tc>
        <w:tc>
          <w:tcPr>
            <w:tcW w:w="562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both"/>
              <w:rPr>
                <w:rFonts w:hint="default" w:ascii="Arial" w:hAnsi="Arial"/>
                <w:sz w:val="18"/>
                <w:szCs w:val="20"/>
              </w:rPr>
            </w:pPr>
            <w:r>
              <w:rPr>
                <w:rFonts w:hint="default" w:ascii="Arial" w:hAnsi="Arial"/>
                <w:sz w:val="18"/>
                <w:szCs w:val="20"/>
              </w:rPr>
              <w:t>Dense Urban (Macro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Frequency Range</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napToGrid w:val="0"/>
                <w:szCs w:val="20"/>
              </w:rPr>
              <w:t>FR1 only, [2GHz, 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Inter-BS distance</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zCs w:val="20"/>
              </w:rPr>
              <w:t>200m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val="en-US" w:eastAsia="zh-CN"/>
              </w:rPr>
              <w:t>Channel model        </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zCs w:val="20"/>
              </w:rPr>
              <w:t>According to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Antenna setup and port layouts at gNB</w:t>
            </w:r>
          </w:p>
        </w:tc>
        <w:tc>
          <w:tcPr>
            <w:tcW w:w="562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both"/>
              <w:rPr>
                <w:rFonts w:hint="default" w:ascii="Arial" w:hAnsi="Arial" w:cs="Arial"/>
                <w:sz w:val="18"/>
                <w:szCs w:val="18"/>
                <w:lang w:val="en-US" w:eastAsia="zh-CN"/>
              </w:rPr>
            </w:pPr>
            <w:r>
              <w:rPr>
                <w:rFonts w:hint="default" w:ascii="Arial" w:hAnsi="Arial" w:cs="Arial"/>
                <w:sz w:val="18"/>
                <w:szCs w:val="18"/>
                <w:lang w:eastAsia="zh-CN"/>
              </w:rPr>
              <w:t>Companies need to report which option(s) are used between</w:t>
            </w:r>
          </w:p>
          <w:p>
            <w:pPr>
              <w:keepNext/>
              <w:keepLines/>
              <w:widowControl/>
              <w:suppressLineNumbers w:val="0"/>
              <w:spacing w:before="0" w:beforeAutospacing="0" w:after="0" w:afterAutospacing="0" w:line="256" w:lineRule="auto"/>
              <w:ind w:left="0" w:right="0"/>
              <w:jc w:val="both"/>
              <w:rPr>
                <w:rFonts w:hint="default" w:ascii="Arial" w:hAnsi="Arial" w:cs="Arial"/>
                <w:sz w:val="18"/>
                <w:szCs w:val="18"/>
                <w:lang w:val="fr-FR" w:eastAsia="zh-CN"/>
              </w:rPr>
            </w:pPr>
            <w:r>
              <w:rPr>
                <w:rFonts w:hint="default" w:ascii="Arial" w:hAnsi="Arial" w:cs="Arial"/>
                <w:sz w:val="18"/>
                <w:szCs w:val="18"/>
                <w:lang w:val="fr-FR" w:eastAsia="zh-CN"/>
              </w:rPr>
              <w:t>- 32 ports: (8,8,2,1,1,2,8), (dH,dV) = (0.5, 0.8)</w:t>
            </w:r>
            <w:r>
              <w:rPr>
                <w:rFonts w:hint="default" w:ascii="Arial" w:hAnsi="Arial" w:cs="Arial"/>
                <w:sz w:val="18"/>
                <w:szCs w:val="18"/>
                <w:lang w:eastAsia="zh-CN"/>
              </w:rPr>
              <w:t>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Antenna setup and port layouts at UE</w:t>
            </w:r>
          </w:p>
        </w:tc>
        <w:tc>
          <w:tcPr>
            <w:tcW w:w="5621" w:type="dxa"/>
            <w:tcBorders>
              <w:top w:val="single" w:color="auto" w:sz="4" w:space="0"/>
              <w:left w:val="single" w:color="auto" w:sz="4" w:space="0"/>
              <w:bottom w:val="single" w:color="auto" w:sz="4" w:space="0"/>
              <w:right w:val="single" w:color="auto" w:sz="4" w:space="0"/>
            </w:tcBorders>
          </w:tcPr>
          <w:p>
            <w:pPr>
              <w:keepNext w:val="0"/>
              <w:keepLines w:val="0"/>
              <w:widowControl w:val="0"/>
              <w:suppressLineNumbers w:val="0"/>
              <w:spacing w:before="0" w:beforeAutospacing="0" w:after="0" w:afterAutospacing="0" w:line="256" w:lineRule="auto"/>
              <w:ind w:left="0" w:right="0"/>
              <w:jc w:val="both"/>
              <w:rPr>
                <w:rFonts w:hint="default" w:ascii="Arial" w:hAnsi="Arial" w:cs="Arial"/>
                <w:sz w:val="18"/>
                <w:szCs w:val="18"/>
                <w:lang w:val="en-US" w:eastAsia="zh-CN"/>
              </w:rPr>
            </w:pPr>
            <w:r>
              <w:rPr>
                <w:rFonts w:hint="default" w:ascii="Arial" w:hAnsi="Arial" w:cs="Arial"/>
                <w:sz w:val="18"/>
                <w:szCs w:val="18"/>
                <w:lang w:eastAsia="zh-CN"/>
              </w:rPr>
              <w:t>4RX: (1,2,2,1,1,1,2), (dH,dV) = (0.5, 0.5)λ for (rank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BS Tx power</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44dBm for 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BS antenna height</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25m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UE antenna height &amp; gain</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Follow TR36.873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UE receiver noise figure</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9dB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vMerge w:val="restart"/>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Numerology</w:t>
            </w:r>
          </w:p>
        </w:tc>
        <w:tc>
          <w:tcPr>
            <w:tcW w:w="164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szCs w:val="20"/>
                <w:lang w:eastAsia="zh-CN"/>
              </w:rPr>
            </w:pPr>
            <w:r>
              <w:rPr>
                <w:rFonts w:hint="default"/>
                <w:szCs w:val="20"/>
                <w:lang w:eastAsia="zh-CN"/>
              </w:rPr>
              <w:t>Slot/non-slot</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szCs w:val="20"/>
                <w:lang w:eastAsia="zh-CN"/>
              </w:rPr>
              <w:t>14 OFDM symbol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56" w:lineRule="auto"/>
              <w:ind w:left="0" w:right="0"/>
              <w:rPr>
                <w:rFonts w:hint="default" w:ascii="Arial" w:hAnsi="Arial"/>
                <w:sz w:val="18"/>
                <w:szCs w:val="20"/>
                <w:lang w:eastAsia="zh-CN"/>
              </w:rPr>
            </w:pPr>
          </w:p>
        </w:tc>
        <w:tc>
          <w:tcPr>
            <w:tcW w:w="164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SCS</w:t>
            </w:r>
          </w:p>
        </w:tc>
        <w:tc>
          <w:tcPr>
            <w:tcW w:w="5621" w:type="dxa"/>
            <w:tcBorders>
              <w:top w:val="single" w:color="auto" w:sz="4" w:space="0"/>
              <w:left w:val="single" w:color="auto" w:sz="4" w:space="0"/>
              <w:bottom w:val="single" w:color="auto" w:sz="4" w:space="0"/>
              <w:right w:val="single" w:color="auto" w:sz="4" w:space="0"/>
            </w:tcBorders>
          </w:tcPr>
          <w:p>
            <w:pPr>
              <w:pStyle w:val="56"/>
              <w:keepNext w:val="0"/>
              <w:widowControl/>
              <w:suppressLineNumbers w:val="0"/>
              <w:spacing w:before="0" w:beforeAutospacing="0" w:after="0" w:afterAutospacing="0" w:line="252" w:lineRule="auto"/>
              <w:ind w:left="0" w:right="0"/>
              <w:jc w:val="left"/>
              <w:rPr>
                <w:rFonts w:hint="default" w:eastAsia="Yu Mincho"/>
                <w:szCs w:val="20"/>
                <w:lang w:eastAsia="ja-JP"/>
              </w:rPr>
            </w:pPr>
            <w:r>
              <w:rPr>
                <w:rFonts w:hint="default"/>
                <w:szCs w:val="20"/>
                <w:lang w:eastAsia="zh-CN"/>
              </w:rPr>
              <w:t xml:space="preserve">Baseline: 15kHz for 2GHz;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Simulation bandwidth</w:t>
            </w:r>
          </w:p>
        </w:tc>
        <w:tc>
          <w:tcPr>
            <w:tcW w:w="5621" w:type="dxa"/>
            <w:tcBorders>
              <w:top w:val="single" w:color="auto" w:sz="4" w:space="0"/>
              <w:left w:val="single" w:color="auto" w:sz="4" w:space="0"/>
              <w:bottom w:val="single" w:color="auto" w:sz="4" w:space="0"/>
              <w:right w:val="single" w:color="auto" w:sz="4" w:space="0"/>
            </w:tcBorders>
          </w:tcPr>
          <w:p>
            <w:pPr>
              <w:pStyle w:val="56"/>
              <w:keepNext w:val="0"/>
              <w:widowControl/>
              <w:suppressLineNumbers w:val="0"/>
              <w:spacing w:before="0" w:beforeAutospacing="0" w:after="0" w:afterAutospacing="0" w:line="252" w:lineRule="auto"/>
              <w:ind w:left="0" w:right="0"/>
              <w:jc w:val="left"/>
              <w:rPr>
                <w:rFonts w:hint="default" w:eastAsia="MS Mincho"/>
                <w:snapToGrid w:val="0"/>
                <w:szCs w:val="20"/>
                <w:lang w:eastAsia="en-US"/>
              </w:rPr>
            </w:pPr>
            <w:r>
              <w:rPr>
                <w:rFonts w:hint="default"/>
                <w:szCs w:val="20"/>
                <w:lang w:eastAsia="zh-CN"/>
              </w:rPr>
              <w:t xml:space="preserve">Baseline: </w:t>
            </w:r>
            <w:r>
              <w:rPr>
                <w:rFonts w:hint="default"/>
                <w:snapToGrid w:val="0"/>
                <w:szCs w:val="20"/>
              </w:rPr>
              <w:t>10 MHz for 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szCs w:val="20"/>
                <w:lang w:eastAsia="zh-CN"/>
              </w:rPr>
            </w:pPr>
            <w:r>
              <w:rPr>
                <w:rFonts w:hint="default"/>
                <w:szCs w:val="20"/>
                <w:lang w:eastAsia="zh-CN"/>
              </w:rPr>
              <w:t>Frame structure</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Slot Format 0 (all downlink) for all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MIMO scheme</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cs="Arial"/>
                <w:szCs w:val="18"/>
              </w:rPr>
              <w:t>SU-MIMO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vAlign w:val="center"/>
          </w:tcPr>
          <w:p>
            <w:pPr>
              <w:pStyle w:val="57"/>
              <w:keepNext w:val="0"/>
              <w:keepLines w:val="0"/>
              <w:widowControl w:val="0"/>
              <w:suppressLineNumbers w:val="0"/>
              <w:spacing w:before="0" w:beforeAutospacing="0" w:after="0" w:afterAutospacing="0" w:line="256" w:lineRule="auto"/>
              <w:ind w:left="0" w:right="0"/>
              <w:rPr>
                <w:rFonts w:hint="default" w:cs="Times New Roman"/>
                <w:szCs w:val="20"/>
                <w:highlight w:val="yellow"/>
                <w:lang w:eastAsia="zh-CN"/>
              </w:rPr>
            </w:pPr>
            <w:r>
              <w:rPr>
                <w:rFonts w:hint="default"/>
                <w:szCs w:val="20"/>
                <w:highlight w:val="yellow"/>
                <w:lang w:val="en-US" w:eastAsia="zh-CN"/>
              </w:rPr>
              <w:t>MIMO layers</w:t>
            </w:r>
          </w:p>
        </w:tc>
        <w:tc>
          <w:tcPr>
            <w:tcW w:w="5621" w:type="dxa"/>
            <w:tcBorders>
              <w:top w:val="single" w:color="auto" w:sz="4" w:space="0"/>
              <w:left w:val="single" w:color="auto" w:sz="4" w:space="0"/>
              <w:bottom w:val="single" w:color="auto" w:sz="4" w:space="0"/>
              <w:right w:val="single" w:color="auto" w:sz="4" w:space="0"/>
            </w:tcBorders>
          </w:tcPr>
          <w:p>
            <w:pPr>
              <w:pStyle w:val="56"/>
              <w:keepNext w:val="0"/>
              <w:widowControl/>
              <w:suppressLineNumbers w:val="0"/>
              <w:spacing w:before="0" w:beforeAutospacing="0" w:after="0" w:afterAutospacing="0" w:line="252" w:lineRule="auto"/>
              <w:ind w:left="0" w:right="0"/>
              <w:jc w:val="left"/>
              <w:rPr>
                <w:rFonts w:hint="default"/>
                <w:szCs w:val="20"/>
                <w:highlight w:val="yellow"/>
                <w:lang w:eastAsia="zh-CN"/>
              </w:rPr>
            </w:pPr>
            <w:r>
              <w:rPr>
                <w:rFonts w:hint="default"/>
                <w:szCs w:val="20"/>
                <w:highlight w:val="yellow"/>
                <w:lang w:eastAsia="zh-CN"/>
              </w:rPr>
              <w:t>Baseline: 1</w:t>
            </w:r>
          </w:p>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highlight w:val="yellow"/>
                <w:lang w:eastAsia="en-US"/>
              </w:rPr>
            </w:pPr>
            <w:r>
              <w:rPr>
                <w:rFonts w:hint="eastAsia"/>
                <w:szCs w:val="20"/>
                <w:highlight w:val="none"/>
                <w:lang w:eastAsia="zh-CN"/>
              </w:rPr>
              <w:t>Optional: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vAlign w:val="center"/>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CSI feedback</w:t>
            </w:r>
          </w:p>
        </w:tc>
        <w:tc>
          <w:tcPr>
            <w:tcW w:w="5621" w:type="dxa"/>
            <w:tcBorders>
              <w:top w:val="single" w:color="auto" w:sz="4" w:space="0"/>
              <w:left w:val="single" w:color="auto" w:sz="4" w:space="0"/>
              <w:bottom w:val="single" w:color="auto" w:sz="4" w:space="0"/>
              <w:right w:val="single" w:color="auto" w:sz="4" w:space="0"/>
            </w:tcBorders>
          </w:tcPr>
          <w:p>
            <w:pPr>
              <w:keepNext w:val="0"/>
              <w:keepLines w:val="0"/>
              <w:widowControl w:val="0"/>
              <w:suppressLineNumbers w:val="0"/>
              <w:spacing w:before="0" w:beforeAutospacing="0" w:after="0" w:afterAutospacing="0" w:line="256" w:lineRule="auto"/>
              <w:ind w:left="0" w:right="0"/>
              <w:jc w:val="both"/>
              <w:rPr>
                <w:rFonts w:hint="default" w:ascii="Arial" w:hAnsi="Arial" w:cs="Arial"/>
                <w:sz w:val="18"/>
                <w:szCs w:val="18"/>
                <w:lang w:val="en-US" w:eastAsia="zh-CN"/>
              </w:rPr>
            </w:pPr>
            <w:r>
              <w:rPr>
                <w:rFonts w:hint="default" w:ascii="Arial" w:hAnsi="Arial" w:cs="Arial"/>
                <w:sz w:val="18"/>
                <w:szCs w:val="18"/>
                <w:lang w:eastAsia="zh-CN"/>
              </w:rPr>
              <w:t>Feedback assumption at least for baseline scheme</w:t>
            </w:r>
          </w:p>
          <w:p>
            <w:pPr>
              <w:keepNext w:val="0"/>
              <w:keepLines w:val="0"/>
              <w:widowControl w:val="0"/>
              <w:suppressLineNumbers w:val="0"/>
              <w:spacing w:before="0" w:beforeAutospacing="0" w:after="0" w:afterAutospacing="0" w:line="221" w:lineRule="atLeast"/>
              <w:ind w:left="0" w:right="0"/>
              <w:jc w:val="both"/>
              <w:textAlignment w:val="baseline"/>
              <w:rPr>
                <w:rFonts w:hint="default" w:ascii="Arial" w:hAnsi="Arial" w:eastAsia="Microsoft YaHei UI" w:cs="Arial"/>
                <w:sz w:val="18"/>
                <w:szCs w:val="18"/>
                <w:lang w:eastAsia="zh-CN"/>
              </w:rPr>
            </w:pPr>
            <w:r>
              <w:rPr>
                <w:rFonts w:hint="default" w:ascii="Arial" w:hAnsi="Arial" w:eastAsia="Microsoft YaHei UI" w:cs="Arial"/>
                <w:sz w:val="18"/>
                <w:szCs w:val="18"/>
                <w:lang w:eastAsia="zh-CN"/>
              </w:rPr>
              <w:t xml:space="preserve">- CSI feedback periodicity </w:t>
            </w:r>
            <w:r>
              <w:rPr>
                <w:rFonts w:hint="default" w:ascii="Arial" w:hAnsi="Arial" w:eastAsia="Microsoft YaHei UI" w:cs="Arial"/>
                <w:sz w:val="14"/>
                <w:szCs w:val="14"/>
                <w:lang w:eastAsia="zh-CN"/>
              </w:rPr>
              <w:t>(full CSI feedback)</w:t>
            </w:r>
            <w:r>
              <w:rPr>
                <w:rFonts w:hint="default" w:ascii="Arial" w:hAnsi="Arial" w:eastAsia="Microsoft YaHei UI" w:cs="Arial"/>
                <w:sz w:val="18"/>
                <w:szCs w:val="18"/>
                <w:lang w:eastAsia="zh-CN"/>
              </w:rPr>
              <w:t>: 5 ms (baseline)</w:t>
            </w:r>
          </w:p>
          <w:p>
            <w:pPr>
              <w:keepNext w:val="0"/>
              <w:keepLines w:val="0"/>
              <w:widowControl w:val="0"/>
              <w:suppressLineNumbers w:val="0"/>
              <w:spacing w:before="0" w:beforeAutospacing="0" w:after="0" w:afterAutospacing="0" w:line="221" w:lineRule="atLeast"/>
              <w:ind w:left="0" w:right="0"/>
              <w:jc w:val="both"/>
              <w:textAlignment w:val="baseline"/>
              <w:rPr>
                <w:rFonts w:hint="default" w:ascii="Arial" w:hAnsi="Arial" w:eastAsia="MS Mincho" w:cs="Arial"/>
                <w:sz w:val="18"/>
                <w:szCs w:val="18"/>
              </w:rPr>
            </w:pPr>
            <w:r>
              <w:rPr>
                <w:rFonts w:hint="default" w:ascii="Arial" w:hAnsi="Arial" w:eastAsia="Microsoft YaHei UI" w:cs="Arial"/>
                <w:sz w:val="18"/>
                <w:szCs w:val="18"/>
                <w:lang w:eastAsia="zh-CN"/>
              </w:rPr>
              <w:t xml:space="preserve">- Scheduling delay </w:t>
            </w:r>
            <w:r>
              <w:rPr>
                <w:rFonts w:hint="default" w:ascii="Arial" w:hAnsi="Arial" w:eastAsia="Microsoft YaHei UI" w:cs="Arial"/>
                <w:sz w:val="14"/>
                <w:szCs w:val="14"/>
                <w:lang w:eastAsia="zh-CN"/>
              </w:rPr>
              <w:t>(from CSI feedback to time to apply in scheduling)</w:t>
            </w:r>
            <w:r>
              <w:rPr>
                <w:rFonts w:hint="default" w:ascii="Arial" w:hAnsi="Arial" w:eastAsia="Microsoft YaHei UI" w:cs="Arial"/>
                <w:sz w:val="18"/>
                <w:szCs w:val="18"/>
                <w:lang w:eastAsia="zh-CN"/>
              </w:rPr>
              <w:t>: 4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Traffic load (Resource utilization)</w:t>
            </w:r>
          </w:p>
        </w:tc>
        <w:tc>
          <w:tcPr>
            <w:tcW w:w="5621" w:type="dxa"/>
            <w:tcBorders>
              <w:top w:val="single" w:color="auto" w:sz="4" w:space="0"/>
              <w:left w:val="single" w:color="auto" w:sz="4" w:space="0"/>
              <w:bottom w:val="single" w:color="auto" w:sz="4" w:space="0"/>
              <w:right w:val="single" w:color="auto" w:sz="4" w:space="0"/>
            </w:tcBorders>
          </w:tcPr>
          <w:p>
            <w:pPr>
              <w:pStyle w:val="56"/>
              <w:keepNext w:val="0"/>
              <w:widowControl/>
              <w:suppressLineNumbers w:val="0"/>
              <w:spacing w:before="0" w:beforeAutospacing="0" w:after="0" w:afterAutospacing="0" w:line="252" w:lineRule="auto"/>
              <w:ind w:left="0" w:right="0"/>
              <w:jc w:val="left"/>
              <w:rPr>
                <w:rFonts w:hint="default" w:eastAsia="MS Mincho" w:cs="Arial"/>
                <w:szCs w:val="18"/>
                <w:lang w:eastAsia="en-US"/>
              </w:rPr>
            </w:pPr>
            <w:r>
              <w:rPr>
                <w:rFonts w:hint="default"/>
                <w:szCs w:val="20"/>
              </w:rPr>
              <w:t>Baseline: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UE distribution</w:t>
            </w:r>
          </w:p>
        </w:tc>
        <w:tc>
          <w:tcPr>
            <w:tcW w:w="5621" w:type="dxa"/>
            <w:tcBorders>
              <w:top w:val="single" w:color="auto" w:sz="4" w:space="0"/>
              <w:left w:val="single" w:color="auto" w:sz="4" w:space="0"/>
              <w:bottom w:val="single" w:color="auto" w:sz="4" w:space="0"/>
              <w:right w:val="single" w:color="auto" w:sz="4" w:space="0"/>
            </w:tcBorders>
          </w:tcPr>
          <w:p>
            <w:pPr>
              <w:keepNext w:val="0"/>
              <w:keepLines w:val="0"/>
              <w:widowControl w:val="0"/>
              <w:suppressLineNumbers w:val="0"/>
              <w:spacing w:before="0" w:beforeAutospacing="0" w:after="0" w:afterAutospacing="0" w:line="256" w:lineRule="auto"/>
              <w:ind w:left="0" w:right="0"/>
              <w:jc w:val="both"/>
              <w:rPr>
                <w:rFonts w:hint="default" w:ascii="Arial" w:hAnsi="Arial" w:cs="Arial"/>
                <w:sz w:val="18"/>
                <w:szCs w:val="18"/>
                <w:lang w:val="en-US" w:eastAsia="zh-CN"/>
              </w:rPr>
            </w:pPr>
            <w:r>
              <w:rPr>
                <w:rFonts w:hint="default" w:ascii="Arial" w:hAnsi="Arial" w:cs="Arial"/>
                <w:sz w:val="18"/>
                <w:szCs w:val="18"/>
                <w:lang w:val="en-US" w:eastAsia="zh-CN"/>
              </w:rPr>
              <w:t>CSI compression: 80% indoor (3 km/h), 20% outdoor (30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UE receiver</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MMSE-IRC as the baseline receiver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Feedback assumption</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Channel estimation         </w:t>
            </w:r>
          </w:p>
        </w:tc>
        <w:tc>
          <w:tcPr>
            <w:tcW w:w="5621" w:type="dxa"/>
            <w:tcBorders>
              <w:top w:val="single" w:color="auto" w:sz="4" w:space="0"/>
              <w:left w:val="single" w:color="auto" w:sz="4" w:space="0"/>
              <w:bottom w:val="single" w:color="auto" w:sz="4" w:space="0"/>
              <w:right w:val="single" w:color="auto" w:sz="4" w:space="0"/>
            </w:tcBorders>
          </w:tcPr>
          <w:p>
            <w:pPr>
              <w:keepNext w:val="0"/>
              <w:keepLines w:val="0"/>
              <w:widowControl w:val="0"/>
              <w:suppressLineNumbers w:val="0"/>
              <w:spacing w:before="0" w:beforeAutospacing="0" w:after="0" w:afterAutospacing="0" w:line="256" w:lineRule="auto"/>
              <w:ind w:left="0" w:right="0"/>
              <w:rPr>
                <w:rFonts w:hint="default" w:cs="Arial"/>
                <w:szCs w:val="18"/>
              </w:rPr>
            </w:pPr>
            <w:r>
              <w:rPr>
                <w:rFonts w:hint="eastAsia" w:ascii="Arial" w:hAnsi="Arial" w:eastAsia="宋体" w:cs="Arial"/>
                <w:sz w:val="18"/>
                <w:szCs w:val="18"/>
                <w:highlight w:val="none"/>
                <w:lang w:val="en-US" w:eastAsia="zh-CN"/>
              </w:rPr>
              <w:t>i</w:t>
            </w:r>
            <w:r>
              <w:rPr>
                <w:rFonts w:hint="eastAsia" w:ascii="Arial" w:hAnsi="Arial" w:eastAsia="Yu Mincho" w:cs="Arial"/>
                <w:sz w:val="18"/>
                <w:szCs w:val="18"/>
                <w:highlight w:val="none"/>
                <w:lang w:val="en-US" w:eastAsia="ja-JP"/>
              </w:rPr>
              <w:t>deal channel estimation</w:t>
            </w:r>
          </w:p>
        </w:tc>
      </w:tr>
    </w:tbl>
    <w:p>
      <w:pPr>
        <w:pStyle w:val="33"/>
        <w:numPr>
          <w:ilvl w:val="0"/>
          <w:numId w:val="0"/>
        </w:numPr>
        <w:spacing w:afterLines="0" w:line="259" w:lineRule="auto"/>
        <w:ind w:right="-22" w:rightChars="0"/>
        <w:jc w:val="left"/>
        <w:rPr>
          <w:rFonts w:eastAsiaTheme="minorHAnsi" w:cstheme="minorBidi"/>
          <w:kern w:val="0"/>
          <w:sz w:val="21"/>
          <w:szCs w:val="21"/>
          <w:lang w:eastAsia="en-US"/>
        </w:rPr>
      </w:pPr>
    </w:p>
    <w:p>
      <w:pPr>
        <w:pStyle w:val="33"/>
        <w:numPr>
          <w:ilvl w:val="0"/>
          <w:numId w:val="0"/>
        </w:numPr>
        <w:spacing w:afterLines="0" w:line="259" w:lineRule="auto"/>
        <w:ind w:right="-22" w:rightChars="0"/>
        <w:jc w:val="left"/>
        <w:rPr>
          <w:rFonts w:eastAsiaTheme="minorHAnsi" w:cstheme="minorBidi"/>
          <w:kern w:val="0"/>
          <w:sz w:val="21"/>
          <w:szCs w:val="21"/>
          <w:lang w:eastAsia="en-US"/>
        </w:rPr>
      </w:pPr>
    </w:p>
    <w:p>
      <w:pPr>
        <w:pStyle w:val="33"/>
        <w:numPr>
          <w:ilvl w:val="0"/>
          <w:numId w:val="12"/>
        </w:numPr>
        <w:spacing w:afterLines="0" w:line="259" w:lineRule="auto"/>
        <w:ind w:left="0" w:leftChars="0" w:right="-22" w:rightChars="0" w:firstLine="0" w:firstLineChars="0"/>
        <w:jc w:val="left"/>
        <w:rPr>
          <w:rFonts w:hint="default" w:ascii="Times New Roman" w:hAnsi="Times New Roman" w:eastAsia="宋体" w:cs="Times New Roman"/>
          <w:b/>
          <w:kern w:val="0"/>
          <w:sz w:val="24"/>
          <w:szCs w:val="24"/>
          <w:lang w:val="en-US" w:eastAsia="zh-CN" w:bidi="ar-SA"/>
        </w:rPr>
      </w:pPr>
      <w:r>
        <w:rPr>
          <w:rFonts w:hint="eastAsia" w:ascii="Times New Roman" w:hAnsi="Times New Roman" w:eastAsia="宋体" w:cs="Times New Roman"/>
          <w:b/>
          <w:kern w:val="0"/>
          <w:sz w:val="24"/>
          <w:szCs w:val="24"/>
          <w:lang w:val="en-US" w:eastAsia="zh-CN" w:bidi="ar-SA"/>
        </w:rPr>
        <w:t>AI model structure</w:t>
      </w:r>
    </w:p>
    <w:p>
      <w:pPr>
        <w:pStyle w:val="33"/>
        <w:numPr>
          <w:ilvl w:val="0"/>
          <w:numId w:val="0"/>
        </w:numPr>
        <w:spacing w:afterLines="0" w:line="259" w:lineRule="auto"/>
        <w:ind w:leftChars="0" w:right="-22" w:rightChars="0"/>
        <w:jc w:val="left"/>
        <w:rPr>
          <w:rFonts w:hint="eastAsia" w:eastAsia="等线"/>
          <w:b/>
          <w:lang w:val="en-US" w:eastAsia="zh-CN"/>
        </w:rPr>
      </w:pPr>
    </w:p>
    <w:p>
      <w:pPr>
        <w:pStyle w:val="33"/>
        <w:numPr>
          <w:ilvl w:val="0"/>
          <w:numId w:val="0"/>
        </w:numPr>
        <w:spacing w:afterLines="0" w:line="259" w:lineRule="auto"/>
        <w:ind w:leftChars="0" w:right="-22" w:rightChars="0"/>
        <w:jc w:val="center"/>
        <w:rPr>
          <w:rFonts w:hint="eastAsia" w:eastAsia="等线"/>
          <w:b/>
          <w:lang w:val="en-US" w:eastAsia="zh-CN"/>
        </w:rPr>
      </w:pPr>
      <w:r>
        <w:rPr>
          <w:rFonts w:hint="eastAsia" w:eastAsia="等线"/>
          <w:b/>
          <w:lang w:val="en-US" w:eastAsia="zh-CN"/>
        </w:rPr>
        <w:drawing>
          <wp:inline distT="0" distB="0" distL="0" distR="0">
            <wp:extent cx="3759835" cy="3599815"/>
            <wp:effectExtent l="0" t="0" r="4445" b="1206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786618" cy="3625304"/>
                    </a:xfrm>
                    <a:prstGeom prst="rect">
                      <a:avLst/>
                    </a:prstGeom>
                    <a:noFill/>
                  </pic:spPr>
                </pic:pic>
              </a:graphicData>
            </a:graphic>
          </wp:inline>
        </w:drawing>
      </w:r>
    </w:p>
    <w:p>
      <w:pPr>
        <w:pStyle w:val="33"/>
        <w:numPr>
          <w:ilvl w:val="0"/>
          <w:numId w:val="0"/>
        </w:numPr>
        <w:spacing w:afterLines="0" w:line="259" w:lineRule="auto"/>
        <w:ind w:leftChars="0" w:right="-22" w:rightChars="0"/>
        <w:jc w:val="left"/>
        <w:rPr>
          <w:rFonts w:hint="eastAsia" w:eastAsia="等线"/>
          <w:b/>
          <w:lang w:val="en-US" w:eastAsia="zh-CN"/>
        </w:rPr>
      </w:pPr>
    </w:p>
    <w:p>
      <w:pPr>
        <w:pStyle w:val="33"/>
        <w:numPr>
          <w:ilvl w:val="0"/>
          <w:numId w:val="0"/>
        </w:numPr>
        <w:spacing w:afterLines="0" w:line="259" w:lineRule="auto"/>
        <w:ind w:leftChars="0" w:right="-22" w:rightChars="0"/>
        <w:jc w:val="left"/>
        <w:rPr>
          <w:rFonts w:hint="eastAsia" w:eastAsia="等线"/>
          <w:b/>
          <w:lang w:val="en-US" w:eastAsia="zh-CN"/>
        </w:rPr>
      </w:pPr>
    </w:p>
    <w:p>
      <w:pPr>
        <w:pStyle w:val="33"/>
        <w:numPr>
          <w:ilvl w:val="0"/>
          <w:numId w:val="0"/>
        </w:numPr>
        <w:spacing w:afterLines="0" w:line="259" w:lineRule="auto"/>
        <w:ind w:leftChars="0" w:right="-22" w:rightChars="0"/>
        <w:jc w:val="left"/>
        <w:rPr>
          <w:rFonts w:hint="eastAsia" w:eastAsia="等线"/>
          <w:b/>
          <w:lang w:val="en-US" w:eastAsia="zh-CN"/>
        </w:rPr>
      </w:pPr>
    </w:p>
    <w:p>
      <w:pPr>
        <w:pStyle w:val="33"/>
        <w:numPr>
          <w:ilvl w:val="0"/>
          <w:numId w:val="0"/>
        </w:numPr>
        <w:spacing w:afterLines="0" w:line="259" w:lineRule="auto"/>
        <w:ind w:leftChars="0" w:right="-22" w:rightChars="0"/>
        <w:jc w:val="center"/>
        <w:rPr>
          <w:rFonts w:hint="eastAsia" w:eastAsia="等线"/>
          <w:b/>
          <w:lang w:val="en-US" w:eastAsia="zh-CN"/>
        </w:rPr>
      </w:pPr>
      <w:r>
        <w:rPr>
          <w:rFonts w:hint="eastAsia" w:eastAsia="等线"/>
          <w:b/>
          <w:lang w:val="en-US" w:eastAsia="zh-CN"/>
        </w:rPr>
        <w:drawing>
          <wp:inline distT="0" distB="0" distL="0" distR="0">
            <wp:extent cx="3752215" cy="3716020"/>
            <wp:effectExtent l="0" t="0" r="12065"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765842" cy="3729056"/>
                    </a:xfrm>
                    <a:prstGeom prst="rect">
                      <a:avLst/>
                    </a:prstGeom>
                    <a:noFill/>
                  </pic:spPr>
                </pic:pic>
              </a:graphicData>
            </a:graphic>
          </wp:inline>
        </w:drawing>
      </w:r>
    </w:p>
    <w:p>
      <w:pPr>
        <w:pStyle w:val="33"/>
        <w:numPr>
          <w:ilvl w:val="0"/>
          <w:numId w:val="12"/>
        </w:numPr>
        <w:spacing w:afterLines="0" w:line="259" w:lineRule="auto"/>
        <w:ind w:left="0" w:leftChars="0" w:right="-22" w:rightChars="0" w:firstLine="0" w:firstLineChars="0"/>
        <w:jc w:val="left"/>
        <w:rPr>
          <w:rFonts w:hint="default" w:ascii="Times New Roman" w:hAnsi="Times New Roman" w:eastAsia="宋体" w:cs="Times New Roman"/>
          <w:b/>
          <w:kern w:val="0"/>
          <w:sz w:val="24"/>
          <w:szCs w:val="24"/>
          <w:lang w:val="en-US" w:eastAsia="zh-CN" w:bidi="ar-SA"/>
        </w:rPr>
      </w:pPr>
      <w:r>
        <w:rPr>
          <w:rFonts w:hint="eastAsia" w:eastAsia="宋体" w:cs="Times New Roman"/>
          <w:b/>
          <w:kern w:val="0"/>
          <w:sz w:val="24"/>
          <w:szCs w:val="24"/>
          <w:lang w:val="en-US" w:eastAsia="zh-CN" w:bidi="ar-SA"/>
        </w:rPr>
        <w:t>Parameters</w:t>
      </w:r>
    </w:p>
    <w:p>
      <w:pPr>
        <w:pStyle w:val="33"/>
        <w:numPr>
          <w:ilvl w:val="0"/>
          <w:numId w:val="0"/>
        </w:numPr>
        <w:spacing w:afterLines="0" w:line="259" w:lineRule="auto"/>
        <w:ind w:leftChars="0" w:right="-22" w:rightChars="0"/>
        <w:jc w:val="left"/>
        <w:rPr>
          <w:rFonts w:hint="eastAsia" w:eastAsia="宋体" w:cs="Times New Roman"/>
          <w:b/>
          <w:kern w:val="0"/>
          <w:sz w:val="24"/>
          <w:szCs w:val="24"/>
          <w:lang w:val="en-US" w:eastAsia="zh-CN" w:bidi="ar-SA"/>
        </w:rPr>
      </w:pPr>
    </w:p>
    <w:tbl>
      <w:tblPr>
        <w:tblStyle w:val="23"/>
        <w:tblW w:w="10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4"/>
        <w:gridCol w:w="3737"/>
        <w:gridCol w:w="4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2571"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b/>
                <w:bCs/>
                <w:szCs w:val="20"/>
              </w:rPr>
            </w:pPr>
            <w:r>
              <w:rPr>
                <w:rFonts w:hint="default"/>
                <w:b/>
                <w:bCs/>
                <w:szCs w:val="20"/>
              </w:rPr>
              <w:t>Parameter/Configurations</w:t>
            </w:r>
          </w:p>
        </w:tc>
        <w:tc>
          <w:tcPr>
            <w:tcW w:w="3741"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b/>
                <w:bCs/>
                <w:szCs w:val="20"/>
              </w:rPr>
            </w:pPr>
            <w:r>
              <w:rPr>
                <w:rFonts w:hint="default"/>
                <w:b/>
                <w:bCs/>
                <w:szCs w:val="20"/>
              </w:rPr>
              <w:t>Options/Values</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b/>
                <w:bCs/>
                <w:szCs w:val="20"/>
              </w:rPr>
            </w:pPr>
            <w:r>
              <w:rPr>
                <w:rFonts w:hint="default"/>
                <w:b/>
                <w:bCs/>
                <w:szCs w:val="20"/>
              </w:rPr>
              <w:t>Company 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trPr>
        <w:tc>
          <w:tcPr>
            <w:tcW w:w="10639" w:type="dxa"/>
            <w:gridSpan w:val="3"/>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b/>
                <w:bCs/>
                <w:szCs w:val="20"/>
              </w:rPr>
            </w:pPr>
          </w:p>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b/>
                <w:bCs/>
                <w:szCs w:val="20"/>
              </w:rPr>
            </w:pPr>
            <w:r>
              <w:rPr>
                <w:rFonts w:hint="default"/>
                <w:b/>
                <w:bCs/>
                <w:szCs w:val="20"/>
              </w:rPr>
              <w:t>Channel/data-set related</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6"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UE antenna element assumptions</w:t>
            </w:r>
          </w:p>
        </w:tc>
        <w:tc>
          <w:tcPr>
            <w:tcW w:w="3741" w:type="dxa"/>
          </w:tcPr>
          <w:p>
            <w:pPr>
              <w:pStyle w:val="33"/>
              <w:keepNext w:val="0"/>
              <w:keepLines w:val="0"/>
              <w:widowControl/>
              <w:numPr>
                <w:ilvl w:val="0"/>
                <w:numId w:val="13"/>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Option 1: Omni-directional antenna elements (Ericsson)</w:t>
            </w:r>
          </w:p>
          <w:p>
            <w:pPr>
              <w:pStyle w:val="33"/>
              <w:keepNext w:val="0"/>
              <w:keepLines w:val="0"/>
              <w:widowControl/>
              <w:numPr>
                <w:ilvl w:val="0"/>
                <w:numId w:val="13"/>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Option 2: Directional antenna elements</w:t>
            </w:r>
          </w:p>
          <w:p>
            <w:pPr>
              <w:pStyle w:val="33"/>
              <w:keepNext w:val="0"/>
              <w:keepLines w:val="0"/>
              <w:widowControl/>
              <w:numPr>
                <w:ilvl w:val="0"/>
                <w:numId w:val="13"/>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Option 3: Other</w:t>
            </w:r>
          </w:p>
        </w:tc>
        <w:tc>
          <w:tcPr>
            <w:tcW w:w="4327"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rPr>
            </w:pPr>
            <w:r>
              <w:rPr>
                <w:rFonts w:hint="default"/>
                <w:szCs w:val="20"/>
              </w:rPr>
              <w:t>[Apple] We provided 2 simulation results:</w:t>
            </w:r>
            <w:r>
              <w:rPr>
                <w:rFonts w:hint="default"/>
                <w:szCs w:val="20"/>
              </w:rPr>
              <w:br w:type="textWrapping"/>
            </w:r>
            <w:r>
              <w:rPr>
                <w:rFonts w:hint="default"/>
                <w:szCs w:val="20"/>
              </w:rPr>
              <w:t xml:space="preserve">Directional (both horizontal/vertical) </w:t>
            </w:r>
            <w:r>
              <w:rPr>
                <w:rFonts w:hint="default"/>
                <w:szCs w:val="20"/>
              </w:rPr>
              <w:br w:type="textWrapping"/>
            </w:r>
            <w:r>
              <w:rPr>
                <w:rFonts w:hint="default"/>
                <w:szCs w:val="20"/>
              </w:rPr>
              <w:t>Omni (both horizontal/vertical)</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rPr>
            </w:pPr>
            <w:r>
              <w:rPr>
                <w:rFonts w:hint="default"/>
                <w:szCs w:val="20"/>
              </w:rPr>
              <w:t>[QC] Option 1 (both horizontal and vertical)</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rPr>
            </w:pPr>
            <w:r>
              <w:rPr>
                <w:rFonts w:hint="default"/>
                <w:szCs w:val="20"/>
              </w:rPr>
              <w:t>[Intel] Option 1</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rPr>
            </w:pPr>
            <w:r>
              <w:rPr>
                <w:rFonts w:hint="default"/>
                <w:szCs w:val="20"/>
              </w:rPr>
              <w:t>[</w:t>
            </w:r>
            <w:r>
              <w:rPr>
                <w:rFonts w:hint="eastAsia"/>
                <w:szCs w:val="20"/>
              </w:rPr>
              <w:t>OPPO</w:t>
            </w:r>
            <w:r>
              <w:rPr>
                <w:rFonts w:hint="default"/>
                <w:szCs w:val="20"/>
              </w:rPr>
              <w:t>]:Option1</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rPr>
            </w:pPr>
            <w:r>
              <w:rPr>
                <w:rFonts w:hint="eastAsia"/>
                <w:szCs w:val="20"/>
              </w:rPr>
              <w:t>[CMCC]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4"/>
              </w:numPr>
              <w:suppressLineNumbers w:val="0"/>
              <w:overflowPunct w:val="0"/>
              <w:autoSpaceDE w:val="0"/>
              <w:autoSpaceDN w:val="0"/>
              <w:adjustRightInd w:val="0"/>
              <w:spacing w:before="0" w:beforeAutospacing="0" w:after="180" w:afterAutospacing="0"/>
              <w:ind w:right="0"/>
              <w:textAlignment w:val="baseline"/>
              <w:rPr>
                <w:rFonts w:hint="default"/>
                <w:color w:val="92D050"/>
              </w:rPr>
            </w:pPr>
            <w:r>
              <w:rPr>
                <w:rFonts w:hint="default"/>
              </w:rPr>
              <w:t>Ideal omni-directional antenna elements following RAN1 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Sub-band channel averaging</w:t>
            </w:r>
          </w:p>
        </w:tc>
        <w:tc>
          <w:tcPr>
            <w:tcW w:w="3741" w:type="dxa"/>
          </w:tcPr>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[Nokia, QC, Apple, vivo, Ericsson,OPPO] Average of covariance channel matrix per RBs in the sub-band before SVD</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eastAsia"/>
              </w:rPr>
              <w:t>[ZTE]: Per sub-band</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eastAsia"/>
              </w:rPr>
              <w:t xml:space="preserve">[CMCC]: Average of raw channel matrix </w:t>
            </w:r>
            <w:r>
              <w:rPr>
                <w:rFonts w:hint="default"/>
              </w:rPr>
              <w:t>per RBs in the sub-band</w:t>
            </w:r>
            <w:r>
              <w:rPr>
                <w:rFonts w:hint="eastAsia"/>
              </w:rPr>
              <w:t xml:space="preserve"> before SVD</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eastAsia"/>
                <w:szCs w:val="20"/>
              </w:rPr>
              <w:t xml:space="preserve">CATT: Prefer not to do the averaging before SVD. </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Average of covariance channel matrices per PRBs in the sub-band</w:t>
            </w:r>
          </w:p>
          <w:p>
            <w:pPr>
              <w:pStyle w:val="33"/>
              <w:keepNext w:val="0"/>
              <w:keepLines w:val="0"/>
              <w:widowControl/>
              <w:numPr>
                <w:ilvl w:val="1"/>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1 sample per PRB is selected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7"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Any other pre-processing</w:t>
            </w:r>
          </w:p>
        </w:tc>
        <w:tc>
          <w:tcPr>
            <w:tcW w:w="3741" w:type="dxa"/>
          </w:tcPr>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To be listed if used</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[QC, Ericsson] Normalize the phase of all entries of the eigenvector based on the phase of the 1</w:t>
            </w:r>
            <w:r>
              <w:rPr>
                <w:rFonts w:hint="default"/>
                <w:vertAlign w:val="superscript"/>
              </w:rPr>
              <w:t>st</w:t>
            </w:r>
            <w:r>
              <w:rPr>
                <w:rFonts w:hint="default"/>
              </w:rPr>
              <w:t xml:space="preserve"> entry of the eigenvector</w:t>
            </w:r>
          </w:p>
          <w:p>
            <w:pPr>
              <w:pStyle w:val="33"/>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rPr>
            </w:pP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[OPPO] Normalize the phase of all entries of the eigenvector based on the phase of the last entry of the eigenvector</w:t>
            </w:r>
          </w:p>
          <w:p>
            <w:pPr>
              <w:pStyle w:val="33"/>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rPr>
            </w:pP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[Apple]: Normalize the phase of all entries of the eigenvector based on the phase of that entry that has the maximum amplitude averaged over the sub-bands</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[Intel] prefer no other pre-processing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2"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Apply phase normalization:</w:t>
            </w:r>
          </w:p>
          <w:p>
            <w:pPr>
              <w:pStyle w:val="33"/>
              <w:keepNext w:val="0"/>
              <w:keepLines w:val="0"/>
              <w:widowControl/>
              <w:numPr>
                <w:ilvl w:val="1"/>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Normalize the phase of all entries of the eigenvector based on the phase of the 1</w:t>
            </w:r>
            <w:r>
              <w:rPr>
                <w:rFonts w:hint="default"/>
                <w:vertAlign w:val="superscript"/>
              </w:rPr>
              <w:t>st</w:t>
            </w:r>
            <w:r>
              <w:rPr>
                <w:rFonts w:hint="default"/>
              </w:rPr>
              <w:t xml:space="preserve"> entry of the eigenvector</w:t>
            </w:r>
          </w:p>
          <w:p>
            <w:pPr>
              <w:pStyle w:val="33"/>
              <w:keepNext w:val="0"/>
              <w:keepLines w:val="0"/>
              <w:widowControl/>
              <w:numPr>
                <w:ilvl w:val="2"/>
                <w:numId w:val="16"/>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i.e. the phase of the first value of the eigenvector is 0.</w:t>
            </w:r>
          </w:p>
          <w:p>
            <w:pPr>
              <w:pStyle w:val="33"/>
              <w:keepNext w:val="0"/>
              <w:keepLines w:val="0"/>
              <w:widowControl/>
              <w:numPr>
                <w:ilvl w:val="0"/>
                <w:numId w:val="16"/>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L2 norm of the eigenvector is equal to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9"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Data collection assumptions</w:t>
            </w:r>
          </w:p>
        </w:tc>
        <w:tc>
          <w:tcPr>
            <w:tcW w:w="3741" w:type="dxa"/>
          </w:tcPr>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[Nokia</w:t>
            </w:r>
            <w:r>
              <w:rPr>
                <w:rFonts w:hint="eastAsia"/>
              </w:rPr>
              <w:t>, CATT, ZTE</w:t>
            </w:r>
            <w:r>
              <w:rPr>
                <w:rFonts w:hint="default"/>
              </w:rPr>
              <w:t>, Ericsson</w:t>
            </w:r>
            <w:r>
              <w:rPr>
                <w:rFonts w:hint="eastAsia"/>
              </w:rPr>
              <w:t>, CMCC</w:t>
            </w:r>
            <w:r>
              <w:rPr>
                <w:rFonts w:hint="default"/>
              </w:rPr>
              <w:t>] Each channel realization is collected from independent UE drop</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Multiple channel realization can be collected from the same UE</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Other</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[QC] Multiple channels realizations are collected from multiple UEs and multiple drops of same UE</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[Apple, Intel, OPPO]:  Multiple drops. Each drop collect data from multiple UEs. Additionally collect samples from channel realization from each UE spaced at de-correlated interval.</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Strive to ensure that the samples are decorrelated, especially when collected from the same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Training dataset size</w:t>
            </w:r>
          </w:p>
        </w:tc>
        <w:tc>
          <w:tcPr>
            <w:tcW w:w="3741" w:type="dxa"/>
          </w:tcPr>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[Nokia]: 630K</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[QC]: 450K</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[Samsung]: 25K</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[R&amp;S]: 614,440</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[MTK]: 700K</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[Ericsson]: 800K</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[Intel]: 200K</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eastAsia"/>
              </w:rPr>
              <w:t>[CATT]: 102,600</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eastAsia"/>
              </w:rPr>
              <w:t>[ZTE]: 600k</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[Apple]: 600K</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[vivo]: 243000</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eastAsia"/>
              </w:rPr>
              <w:t>[</w:t>
            </w:r>
            <w:r>
              <w:rPr>
                <w:rFonts w:hint="default"/>
              </w:rPr>
              <w:t>OPPO</w:t>
            </w:r>
            <w:r>
              <w:rPr>
                <w:rFonts w:hint="eastAsia"/>
              </w:rPr>
              <w:t>]：600k</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eastAsia"/>
              </w:rPr>
              <w:t>[CMCC]: 100K</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Aim to use the dataset around 600K.</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At least 100K sample to be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2571"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Dataset quantization</w:t>
            </w:r>
          </w:p>
        </w:tc>
        <w:tc>
          <w:tcPr>
            <w:tcW w:w="3741" w:type="dxa"/>
          </w:tcPr>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Float32</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Other data-set characteristics/statistics</w:t>
            </w:r>
          </w:p>
        </w:tc>
        <w:tc>
          <w:tcPr>
            <w:tcW w:w="3741" w:type="dxa"/>
          </w:tcPr>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Companies to propose</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3"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pStyle w:val="33"/>
              <w:keepNext w:val="0"/>
              <w:keepLines w:val="0"/>
              <w:widowControl/>
              <w:numPr>
                <w:ilvl w:val="0"/>
                <w:numId w:val="1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Companies are encouraged to report some statistics about the dataset.</w:t>
            </w:r>
          </w:p>
          <w:p>
            <w:pPr>
              <w:pStyle w:val="33"/>
              <w:keepNext w:val="0"/>
              <w:keepLines w:val="0"/>
              <w:widowControl/>
              <w:numPr>
                <w:ilvl w:val="1"/>
                <w:numId w:val="16"/>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Statistics are FFS</w:t>
            </w:r>
          </w:p>
          <w:p>
            <w:pPr>
              <w:pStyle w:val="33"/>
              <w:keepNext w:val="0"/>
              <w:keepLines w:val="0"/>
              <w:widowControl/>
              <w:numPr>
                <w:ilvl w:val="0"/>
                <w:numId w:val="16"/>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Companies are encouraged to report the CDF of the SGCS across sub-bands and input samples.</w:t>
            </w:r>
          </w:p>
          <w:p>
            <w:pPr>
              <w:pStyle w:val="33"/>
              <w:keepNext w:val="0"/>
              <w:keepLines w:val="0"/>
              <w:widowControl/>
              <w:numPr>
                <w:ilvl w:val="1"/>
                <w:numId w:val="16"/>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If possible, also report CDF for eTypeII.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trPr>
        <w:tc>
          <w:tcPr>
            <w:tcW w:w="10639" w:type="dxa"/>
            <w:gridSpan w:val="3"/>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b/>
                <w:bCs/>
                <w:szCs w:val="20"/>
              </w:rPr>
            </w:pPr>
          </w:p>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b/>
                <w:bCs/>
                <w:szCs w:val="20"/>
              </w:rPr>
            </w:pPr>
            <w:r>
              <w:rPr>
                <w:rFonts w:hint="default"/>
                <w:b/>
                <w:bCs/>
                <w:szCs w:val="20"/>
              </w:rPr>
              <w:t>Model-related</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Quantization of encoder output</w:t>
            </w:r>
          </w:p>
        </w:tc>
        <w:tc>
          <w:tcPr>
            <w:tcW w:w="3741" w:type="dxa"/>
          </w:tcPr>
          <w:p>
            <w:pPr>
              <w:pStyle w:val="33"/>
              <w:keepNext w:val="0"/>
              <w:keepLines w:val="0"/>
              <w:widowControl/>
              <w:numPr>
                <w:ilvl w:val="0"/>
                <w:numId w:val="18"/>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[Nokia]: Non-trainable quantization (bypassed during training)</w:t>
            </w:r>
          </w:p>
          <w:p>
            <w:pPr>
              <w:pStyle w:val="33"/>
              <w:keepNext w:val="0"/>
              <w:keepLines w:val="0"/>
              <w:widowControl/>
              <w:numPr>
                <w:ilvl w:val="0"/>
                <w:numId w:val="18"/>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[QC</w:t>
            </w:r>
            <w:r>
              <w:rPr>
                <w:rFonts w:hint="eastAsia"/>
              </w:rPr>
              <w:t>, CMCC</w:t>
            </w:r>
            <w:r>
              <w:rPr>
                <w:rFonts w:hint="default"/>
              </w:rPr>
              <w:t>] Quantization aware training</w:t>
            </w:r>
          </w:p>
          <w:p>
            <w:pPr>
              <w:pStyle w:val="33"/>
              <w:keepNext w:val="0"/>
              <w:keepLines w:val="0"/>
              <w:widowControl/>
              <w:numPr>
                <w:ilvl w:val="0"/>
                <w:numId w:val="18"/>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[Apple]: Quantization in forward and approximation in backward to enable learning. (avoid zero gradient of round function)</w:t>
            </w:r>
          </w:p>
          <w:p>
            <w:pPr>
              <w:pStyle w:val="33"/>
              <w:keepNext w:val="0"/>
              <w:keepLines w:val="0"/>
              <w:widowControl/>
              <w:numPr>
                <w:ilvl w:val="0"/>
                <w:numId w:val="18"/>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[vivo] VQ with quantization aware training</w:t>
            </w:r>
          </w:p>
          <w:p>
            <w:pPr>
              <w:pStyle w:val="33"/>
              <w:keepNext w:val="0"/>
              <w:keepLines w:val="0"/>
              <w:widowControl/>
              <w:numPr>
                <w:ilvl w:val="0"/>
                <w:numId w:val="18"/>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[Intel] Quantization aware training. Scalar quantization with non-trainable quantization grid.</w:t>
            </w:r>
          </w:p>
          <w:p>
            <w:pPr>
              <w:pStyle w:val="33"/>
              <w:keepNext w:val="0"/>
              <w:keepLines w:val="0"/>
              <w:widowControl/>
              <w:numPr>
                <w:ilvl w:val="0"/>
                <w:numId w:val="18"/>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[Ericsson] 2 bit scalar quantization, quantizer aware training</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eastAsia"/>
                <w:szCs w:val="20"/>
              </w:rPr>
              <w:t xml:space="preserve">CATT: Consider to align the activation </w:t>
            </w:r>
            <w:r>
              <w:rPr>
                <w:rFonts w:hint="default"/>
                <w:szCs w:val="20"/>
              </w:rPr>
              <w:t>function</w:t>
            </w:r>
            <w:r>
              <w:rPr>
                <w:rFonts w:hint="eastAsia"/>
                <w:szCs w:val="20"/>
              </w:rPr>
              <w:t xml:space="preserve"> and quantization method. </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1"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pStyle w:val="33"/>
              <w:keepNext w:val="0"/>
              <w:keepLines w:val="0"/>
              <w:widowControl/>
              <w:numPr>
                <w:ilvl w:val="0"/>
                <w:numId w:val="19"/>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Report results without quantization of the FC layer outputs for validation purposes only, i.e., float32 is sent in CSI report</w:t>
            </w:r>
          </w:p>
          <w:p>
            <w:pPr>
              <w:pStyle w:val="33"/>
              <w:keepNext w:val="0"/>
              <w:keepLines w:val="0"/>
              <w:widowControl/>
              <w:numPr>
                <w:ilvl w:val="0"/>
                <w:numId w:val="19"/>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Companies still need to report quantization results:</w:t>
            </w:r>
          </w:p>
          <w:p>
            <w:pPr>
              <w:pStyle w:val="33"/>
              <w:keepNext w:val="0"/>
              <w:keepLines w:val="0"/>
              <w:widowControl/>
              <w:numPr>
                <w:ilvl w:val="1"/>
                <w:numId w:val="16"/>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Companies to report whether/how quantization aware training is implemented (e.g., how quantization is treated at back propagation)</w:t>
            </w:r>
          </w:p>
          <w:p>
            <w:pPr>
              <w:pStyle w:val="33"/>
              <w:keepNext w:val="0"/>
              <w:keepLines w:val="0"/>
              <w:widowControl/>
              <w:numPr>
                <w:ilvl w:val="2"/>
                <w:numId w:val="16"/>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Companies can try quantization aware training with bypassing of the quantization in back propagation</w:t>
            </w:r>
          </w:p>
          <w:p>
            <w:pPr>
              <w:pStyle w:val="33"/>
              <w:keepNext w:val="0"/>
              <w:keepLines w:val="0"/>
              <w:widowControl/>
              <w:numPr>
                <w:ilvl w:val="1"/>
                <w:numId w:val="16"/>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Quantization options, companies to provide the details:</w:t>
            </w:r>
          </w:p>
          <w:p>
            <w:pPr>
              <w:pStyle w:val="33"/>
              <w:keepNext w:val="0"/>
              <w:keepLines w:val="0"/>
              <w:widowControl/>
              <w:numPr>
                <w:ilvl w:val="2"/>
                <w:numId w:val="16"/>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Fixed unform quantization with equal ranges</w:t>
            </w:r>
          </w:p>
          <w:p>
            <w:pPr>
              <w:pStyle w:val="33"/>
              <w:keepNext w:val="0"/>
              <w:keepLines w:val="0"/>
              <w:widowControl/>
              <w:numPr>
                <w:ilvl w:val="2"/>
                <w:numId w:val="16"/>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Trainable quantization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6"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Normalization before quantization in the encoder</w:t>
            </w:r>
          </w:p>
        </w:tc>
        <w:tc>
          <w:tcPr>
            <w:tcW w:w="3741" w:type="dxa"/>
          </w:tcPr>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[Nokia, Ericsson]: Normalization with tanh function after FC layer</w:t>
            </w:r>
          </w:p>
          <w:p>
            <w:pPr>
              <w:keepNext w:val="0"/>
              <w:keepLines w:val="0"/>
              <w:widowControl/>
              <w:numPr>
                <w:ilvl w:val="0"/>
                <w:numId w:val="18"/>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eastAsia"/>
                <w:szCs w:val="20"/>
              </w:rPr>
              <w:t>[CATT, ZTE</w:t>
            </w:r>
            <w:r>
              <w:rPr>
                <w:rFonts w:hint="default"/>
                <w:szCs w:val="20"/>
              </w:rPr>
              <w:t>, vivo</w:t>
            </w:r>
            <w:r>
              <w:rPr>
                <w:rFonts w:hint="eastAsia"/>
                <w:szCs w:val="20"/>
              </w:rPr>
              <w:t>, CMCC]: Sigmoid function used after FC layer</w:t>
            </w:r>
          </w:p>
          <w:p>
            <w:pPr>
              <w:keepNext w:val="0"/>
              <w:keepLines w:val="0"/>
              <w:widowControl/>
              <w:numPr>
                <w:ilvl w:val="0"/>
                <w:numId w:val="18"/>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[QC] Normalization not done due to the use of quantization aware training</w:t>
            </w:r>
          </w:p>
          <w:p>
            <w:pPr>
              <w:keepNext w:val="0"/>
              <w:keepLines w:val="0"/>
              <w:widowControl/>
              <w:numPr>
                <w:ilvl w:val="0"/>
                <w:numId w:val="18"/>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[Apple]: Normalization with tanh function after FC layer. We don’t apply inverse of that in de-quantization</w:t>
            </w:r>
          </w:p>
          <w:p>
            <w:pPr>
              <w:keepNext w:val="0"/>
              <w:keepLines w:val="0"/>
              <w:widowControl/>
              <w:numPr>
                <w:ilvl w:val="0"/>
                <w:numId w:val="18"/>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[Intel] Sigmoid after FC layer. Inverse sigmoid after de-quantization stage in decoder.</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shd w:val="clear" w:color="auto" w:fill="auto"/>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6"/>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For the results with quantization, to use a sigmoid function in the encoder for normalization</w:t>
            </w:r>
          </w:p>
          <w:p>
            <w:pPr>
              <w:pStyle w:val="33"/>
              <w:keepNext w:val="0"/>
              <w:keepLines w:val="0"/>
              <w:widowControl/>
              <w:numPr>
                <w:ilvl w:val="1"/>
                <w:numId w:val="16"/>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Sigmoid in the decoder is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Use and configuration of drop-out</w:t>
            </w:r>
          </w:p>
        </w:tc>
        <w:tc>
          <w:tcPr>
            <w:tcW w:w="3741" w:type="dxa"/>
          </w:tcPr>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[Nokia]: Use of on single drop-out layer after FC layer in the encoder and decoder, Drop-out rate = 0.4.</w:t>
            </w:r>
          </w:p>
          <w:p>
            <w:pPr>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eastAsia"/>
                <w:szCs w:val="20"/>
              </w:rPr>
              <w:t>[CATT</w:t>
            </w:r>
            <w:r>
              <w:rPr>
                <w:rFonts w:hint="default"/>
                <w:szCs w:val="20"/>
              </w:rPr>
              <w:t>, QC</w:t>
            </w:r>
            <w:r>
              <w:rPr>
                <w:rFonts w:hint="eastAsia"/>
                <w:szCs w:val="20"/>
              </w:rPr>
              <w:t>, ZTE</w:t>
            </w:r>
            <w:r>
              <w:rPr>
                <w:rFonts w:hint="default"/>
                <w:szCs w:val="20"/>
              </w:rPr>
              <w:t>, Apple, vivo, Intel, Ericsson</w:t>
            </w:r>
            <w:r>
              <w:rPr>
                <w:rFonts w:hint="eastAsia"/>
                <w:szCs w:val="20"/>
              </w:rPr>
              <w:t>, CMCC]: No drop-out used.</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20"/>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Not to use drop-out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2"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Training loss function, use of regularization</w:t>
            </w:r>
          </w:p>
        </w:tc>
        <w:tc>
          <w:tcPr>
            <w:tcW w:w="3741" w:type="dxa"/>
          </w:tcPr>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 xml:space="preserve">[Nokia]: - SGCS with L2 regularization with weight decay, </w:t>
            </w:r>
            <w:r>
              <w:rPr>
                <w:rStyle w:val="78"/>
                <w:rFonts w:hint="default"/>
              </w:rPr>
              <w:t xml:space="preserve">λ = </w:t>
            </w:r>
            <w:r>
              <w:rPr>
                <w:rFonts w:hint="default"/>
              </w:rPr>
              <w:t>10</w:t>
            </w:r>
            <w:r>
              <w:rPr>
                <w:rFonts w:hint="default"/>
                <w:vertAlign w:val="superscript"/>
              </w:rPr>
              <w:t>-2</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[QC]: SGCS + additional terms for quantization aware training</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[Apple</w:t>
            </w:r>
            <w:r>
              <w:rPr>
                <w:rFonts w:hint="eastAsia"/>
              </w:rPr>
              <w:t>, CATT, CMCC</w:t>
            </w:r>
            <w:r>
              <w:rPr>
                <w:rFonts w:hint="default"/>
              </w:rPr>
              <w:t>]: 1- SGCS</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[R&amp;S, MTK, Intel]: SGCS</w:t>
            </w:r>
          </w:p>
          <w:p>
            <w:pPr>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[Ericsson]: NMSE</w:t>
            </w:r>
          </w:p>
          <w:p>
            <w:pPr>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eastAsia"/>
                <w:szCs w:val="20"/>
              </w:rPr>
              <w:t>[ZTE]: MSE</w:t>
            </w:r>
          </w:p>
          <w:p>
            <w:pPr>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 xml:space="preserve">[vivo]: </w:t>
            </w:r>
            <w:r>
              <w:rPr>
                <w:rFonts w:hint="eastAsia"/>
                <w:szCs w:val="20"/>
              </w:rPr>
              <w:t>1</w:t>
            </w:r>
            <w:r>
              <w:rPr>
                <w:rFonts w:hint="default"/>
                <w:szCs w:val="20"/>
              </w:rPr>
              <w:t>-SGCS plus VQ loss for encoder output (MSE between original and quantized encoder output)</w:t>
            </w:r>
          </w:p>
          <w:p>
            <w:pPr>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[Intel]: SGCS, no L1/L2 regularization</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20"/>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Use (1-SGCS) as loss function as 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Optimizer</w:t>
            </w:r>
          </w:p>
        </w:tc>
        <w:tc>
          <w:tcPr>
            <w:tcW w:w="3741" w:type="dxa"/>
          </w:tcPr>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[Samsung, QCM, Apple, MTK, Intel</w:t>
            </w:r>
            <w:r>
              <w:rPr>
                <w:rFonts w:hint="eastAsia"/>
              </w:rPr>
              <w:t>, CATT</w:t>
            </w:r>
            <w:r>
              <w:rPr>
                <w:rFonts w:hint="default"/>
              </w:rPr>
              <w:t>, Ericsson</w:t>
            </w:r>
            <w:r>
              <w:rPr>
                <w:rFonts w:hint="eastAsia"/>
              </w:rPr>
              <w:t>, CMCC</w:t>
            </w:r>
            <w:r>
              <w:rPr>
                <w:rFonts w:hint="default"/>
              </w:rPr>
              <w:t>]: Adam</w:t>
            </w:r>
          </w:p>
          <w:p>
            <w:pPr>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[Nokia]: RMSProp (Root Mean Square Propagation)</w:t>
            </w:r>
          </w:p>
          <w:p>
            <w:pPr>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eastAsia"/>
                <w:szCs w:val="20"/>
              </w:rPr>
              <w:t>[ZTE</w:t>
            </w:r>
            <w:r>
              <w:rPr>
                <w:rFonts w:hint="default"/>
                <w:szCs w:val="20"/>
              </w:rPr>
              <w:t>, vivo</w:t>
            </w:r>
            <w:r>
              <w:rPr>
                <w:rFonts w:hint="eastAsia"/>
                <w:szCs w:val="20"/>
              </w:rPr>
              <w:t xml:space="preserve">]: </w:t>
            </w:r>
            <w:r>
              <w:rPr>
                <w:rFonts w:hint="default"/>
                <w:szCs w:val="20"/>
              </w:rPr>
              <w:t>Adam</w:t>
            </w:r>
            <w:r>
              <w:rPr>
                <w:rFonts w:hint="eastAsia"/>
                <w:szCs w:val="20"/>
              </w:rPr>
              <w:t>W</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20"/>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Use Adam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2"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Learning rate</w:t>
            </w:r>
          </w:p>
        </w:tc>
        <w:tc>
          <w:tcPr>
            <w:tcW w:w="3741" w:type="dxa"/>
          </w:tcPr>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 xml:space="preserve">[Nokia]: </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[QC, R&amp;S</w:t>
            </w:r>
            <w:r>
              <w:rPr>
                <w:rFonts w:hint="eastAsia"/>
              </w:rPr>
              <w:t>, CATT</w:t>
            </w:r>
            <w:r>
              <w:rPr>
                <w:rFonts w:hint="default"/>
              </w:rPr>
              <w:t>, Ericsson]: 10^-4</w:t>
            </w:r>
          </w:p>
          <w:p>
            <w:pPr>
              <w:pStyle w:val="33"/>
              <w:keepNext w:val="0"/>
              <w:keepLines w:val="0"/>
              <w:widowControl/>
              <w:numPr>
                <w:ilvl w:val="1"/>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[R&amp;S]: Learning rate adaptation: Reduce on plateau by factor 0.5 with patience of 50 epochs.</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 xml:space="preserve">[Apple]: </w:t>
            </w:r>
            <w:r>
              <w:rPr>
                <w:rFonts w:hint="default" w:eastAsia="Yu Mincho"/>
                <w:lang w:eastAsia="ja-JP"/>
              </w:rPr>
              <w:t>0.0025</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eastAsia="Yu Mincho"/>
                <w:lang w:eastAsia="ja-JP"/>
              </w:rPr>
              <w:t>[Samsung, Intel, MTK</w:t>
            </w:r>
            <w:r>
              <w:rPr>
                <w:rFonts w:hint="eastAsia" w:eastAsia="宋体"/>
              </w:rPr>
              <w:t>, CMCC</w:t>
            </w:r>
            <w:r>
              <w:rPr>
                <w:rFonts w:hint="default" w:eastAsia="Yu Mincho"/>
                <w:lang w:eastAsia="ja-JP"/>
              </w:rPr>
              <w:t>]: 0.001</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eastAsia"/>
              </w:rPr>
              <w:t>[ZTE]:1.5e-3</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[vivo]: Warm-up to initial lr 1e-3 and then linearly decay to final lr 8e-4, update after each batch</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20"/>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 xml:space="preserve">Fixed learning rate of 10^-4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5"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Batch size</w:t>
            </w:r>
          </w:p>
        </w:tc>
        <w:tc>
          <w:tcPr>
            <w:tcW w:w="3741" w:type="dxa"/>
          </w:tcPr>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[Nokia]:1024</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[QC, MTK</w:t>
            </w:r>
            <w:r>
              <w:rPr>
                <w:rFonts w:hint="eastAsia"/>
              </w:rPr>
              <w:t>, CMCC</w:t>
            </w:r>
            <w:r>
              <w:rPr>
                <w:rFonts w:hint="default"/>
              </w:rPr>
              <w:t>]: 128</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[Apple]: 256</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eastAsia="Yu Mincho"/>
                <w:lang w:eastAsia="ja-JP"/>
              </w:rPr>
              <w:t>[Samsung]: 200</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eastAsia="Yu Mincho"/>
                <w:lang w:eastAsia="ja-JP"/>
              </w:rPr>
              <w:t>[R&amp;S</w:t>
            </w:r>
            <w:r>
              <w:rPr>
                <w:rFonts w:hint="eastAsia"/>
              </w:rPr>
              <w:t>, CATT</w:t>
            </w:r>
            <w:r>
              <w:rPr>
                <w:rFonts w:hint="default"/>
              </w:rPr>
              <w:t>, vivo, Ericsson</w:t>
            </w:r>
            <w:r>
              <w:rPr>
                <w:rFonts w:hint="default" w:eastAsia="Yu Mincho"/>
                <w:lang w:eastAsia="ja-JP"/>
              </w:rPr>
              <w:t>]: 512</w:t>
            </w:r>
          </w:p>
          <w:p>
            <w:pPr>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eastAsia="Yu Mincho"/>
                <w:szCs w:val="20"/>
                <w:lang w:eastAsia="ja-JP"/>
              </w:rPr>
              <w:t>[Ericsson]: 32</w:t>
            </w:r>
          </w:p>
          <w:p>
            <w:pPr>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eastAsia="Yu Mincho"/>
                <w:szCs w:val="20"/>
                <w:lang w:eastAsia="ja-JP"/>
              </w:rPr>
              <w:t>[Intel]: 10</w:t>
            </w:r>
          </w:p>
          <w:p>
            <w:pPr>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eastAsia" w:eastAsia="宋体"/>
                <w:szCs w:val="20"/>
              </w:rPr>
              <w:t>[ZTE]:400</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20"/>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(Max) Number of epochs</w:t>
            </w:r>
          </w:p>
        </w:tc>
        <w:tc>
          <w:tcPr>
            <w:tcW w:w="3741" w:type="dxa"/>
          </w:tcPr>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[QC]: 150</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[Apple, vivo, Intel]: 100</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[R&amp;S, Nokia</w:t>
            </w:r>
            <w:r>
              <w:rPr>
                <w:rFonts w:hint="eastAsia"/>
              </w:rPr>
              <w:t>, CATT</w:t>
            </w:r>
            <w:r>
              <w:rPr>
                <w:rFonts w:hint="default"/>
              </w:rPr>
              <w:t>]: 200</w:t>
            </w:r>
          </w:p>
          <w:p>
            <w:pPr>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[MTK</w:t>
            </w:r>
            <w:r>
              <w:rPr>
                <w:rFonts w:hint="eastAsia"/>
                <w:szCs w:val="20"/>
              </w:rPr>
              <w:t>, ZTE</w:t>
            </w:r>
            <w:r>
              <w:rPr>
                <w:rFonts w:hint="default"/>
                <w:szCs w:val="20"/>
              </w:rPr>
              <w:t>]: 300</w:t>
            </w:r>
          </w:p>
          <w:p>
            <w:pPr>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eastAsia"/>
                <w:szCs w:val="20"/>
              </w:rPr>
              <w:t>[CMCC]: 500</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20"/>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150 epochs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2"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Stopping criteria</w:t>
            </w:r>
          </w:p>
        </w:tc>
        <w:tc>
          <w:tcPr>
            <w:tcW w:w="3741" w:type="dxa"/>
          </w:tcPr>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[Nokia, Apple</w:t>
            </w:r>
            <w:r>
              <w:rPr>
                <w:rFonts w:hint="eastAsia"/>
              </w:rPr>
              <w:t>, CATT</w:t>
            </w:r>
            <w:r>
              <w:rPr>
                <w:rFonts w:hint="default"/>
              </w:rPr>
              <w:t>, QC</w:t>
            </w:r>
            <w:r>
              <w:rPr>
                <w:rFonts w:hint="eastAsia"/>
              </w:rPr>
              <w:t>, ZTE</w:t>
            </w:r>
            <w:r>
              <w:rPr>
                <w:rFonts w:hint="default"/>
              </w:rPr>
              <w:t>, Intel</w:t>
            </w:r>
            <w:r>
              <w:rPr>
                <w:rFonts w:hint="eastAsia"/>
              </w:rPr>
              <w:t>, CMCC</w:t>
            </w:r>
            <w:r>
              <w:rPr>
                <w:rFonts w:hint="default"/>
              </w:rPr>
              <w:t>]: No change in metric over a given number of epochs</w:t>
            </w:r>
          </w:p>
          <w:p>
            <w:pPr>
              <w:keepNext w:val="0"/>
              <w:keepLines w:val="0"/>
              <w:widowControl/>
              <w:numPr>
                <w:ilvl w:val="1"/>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Validation patience: [Intel, Nokia] 10, [QC] 50</w:t>
            </w:r>
          </w:p>
          <w:p>
            <w:pPr>
              <w:keepNext w:val="0"/>
              <w:keepLines w:val="0"/>
              <w:widowControl/>
              <w:numPr>
                <w:ilvl w:val="1"/>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 Ericsson with constraint on max Epochs</w:t>
            </w:r>
          </w:p>
          <w:p>
            <w:pPr>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[vivo] Stop when reaching the configured number of epochs</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20"/>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 improvement over 25 epochs.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Weight initialization</w:t>
            </w:r>
          </w:p>
        </w:tc>
        <w:tc>
          <w:tcPr>
            <w:tcW w:w="3741" w:type="dxa"/>
          </w:tcPr>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[Apple</w:t>
            </w:r>
            <w:r>
              <w:rPr>
                <w:rFonts w:hint="eastAsia"/>
              </w:rPr>
              <w:t>, CATT</w:t>
            </w:r>
            <w:r>
              <w:rPr>
                <w:rFonts w:hint="default"/>
              </w:rPr>
              <w:t>, QC, vivo, Intel</w:t>
            </w:r>
            <w:r>
              <w:rPr>
                <w:rFonts w:hint="eastAsia"/>
              </w:rPr>
              <w:t>, CMCC</w:t>
            </w:r>
            <w:r>
              <w:rPr>
                <w:rFonts w:hint="default"/>
              </w:rPr>
              <w:t>]: Default</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Ericsson: Variance scaling</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20"/>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Kernel Parameters:</w:t>
            </w:r>
          </w:p>
          <w:p>
            <w:pPr>
              <w:pStyle w:val="33"/>
              <w:keepNext w:val="0"/>
              <w:keepLines w:val="0"/>
              <w:widowControl/>
              <w:numPr>
                <w:ilvl w:val="0"/>
                <w:numId w:val="15"/>
              </w:numPr>
              <w:suppressLineNumbers w:val="0"/>
              <w:overflowPunct w:val="0"/>
              <w:autoSpaceDE w:val="0"/>
              <w:autoSpaceDN w:val="0"/>
              <w:adjustRightInd w:val="0"/>
              <w:spacing w:before="0" w:beforeAutospacing="0" w:after="180" w:afterAutospacing="0"/>
              <w:ind w:right="0"/>
              <w:textAlignment w:val="baseline"/>
              <w:rPr>
                <w:rFonts w:hint="default"/>
              </w:rPr>
            </w:pPr>
            <w:r>
              <w:rPr>
                <w:rFonts w:hint="default"/>
              </w:rPr>
              <w:t>Dilation</w:t>
            </w:r>
          </w:p>
          <w:p>
            <w:pPr>
              <w:pStyle w:val="33"/>
              <w:keepNext w:val="0"/>
              <w:keepLines w:val="0"/>
              <w:widowControl/>
              <w:numPr>
                <w:ilvl w:val="0"/>
                <w:numId w:val="15"/>
              </w:numPr>
              <w:suppressLineNumbers w:val="0"/>
              <w:overflowPunct w:val="0"/>
              <w:autoSpaceDE w:val="0"/>
              <w:autoSpaceDN w:val="0"/>
              <w:adjustRightInd w:val="0"/>
              <w:spacing w:before="0" w:beforeAutospacing="0" w:after="180" w:afterAutospacing="0"/>
              <w:ind w:right="0"/>
              <w:textAlignment w:val="baseline"/>
              <w:rPr>
                <w:rFonts w:hint="default"/>
              </w:rPr>
            </w:pPr>
            <w:r>
              <w:rPr>
                <w:rFonts w:hint="default"/>
              </w:rPr>
              <w:t>Padding Type</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The value of groups (VG)</w:t>
            </w:r>
          </w:p>
        </w:tc>
        <w:tc>
          <w:tcPr>
            <w:tcW w:w="3741" w:type="dxa"/>
          </w:tcPr>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[CMCC, Samsung, Vivo</w:t>
            </w:r>
            <w:r>
              <w:rPr>
                <w:rFonts w:hint="eastAsia"/>
              </w:rPr>
              <w:t>, CATT</w:t>
            </w:r>
            <w:r>
              <w:rPr>
                <w:rFonts w:hint="default"/>
              </w:rPr>
              <w:t>]: Dilation:1, Padding type=0, VG= 1</w:t>
            </w:r>
          </w:p>
          <w:p>
            <w:pPr>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[QC</w:t>
            </w:r>
            <w:r>
              <w:rPr>
                <w:rFonts w:hint="eastAsia"/>
                <w:szCs w:val="20"/>
              </w:rPr>
              <w:t>, ZTE</w:t>
            </w:r>
            <w:r>
              <w:rPr>
                <w:rFonts w:hint="default"/>
                <w:szCs w:val="20"/>
              </w:rPr>
              <w:t>, Apple, Intel]: Default</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20"/>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Default</w:t>
            </w:r>
          </w:p>
        </w:tc>
      </w:tr>
    </w:tbl>
    <w:p/>
    <w:p>
      <w:pPr>
        <w:pStyle w:val="33"/>
        <w:numPr>
          <w:ilvl w:val="0"/>
          <w:numId w:val="0"/>
        </w:numPr>
        <w:spacing w:afterLines="0" w:line="259" w:lineRule="auto"/>
        <w:ind w:leftChars="0" w:right="-22" w:rightChars="0"/>
        <w:jc w:val="left"/>
        <w:rPr>
          <w:rFonts w:hint="default" w:eastAsia="宋体" w:cs="Times New Roman"/>
          <w:b/>
          <w:kern w:val="0"/>
          <w:sz w:val="24"/>
          <w:szCs w:val="24"/>
          <w:lang w:val="en-US" w:eastAsia="zh-CN" w:bidi="ar-SA"/>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游明朝">
    <w:altName w:val="Yu Gothic"/>
    <w:panose1 w:val="00000000000000000000"/>
    <w:charset w:val="80"/>
    <w:family w:val="roman"/>
    <w:pitch w:val="default"/>
    <w:sig w:usb0="00000000" w:usb1="00000000" w:usb2="00000012" w:usb3="00000000" w:csb0="0002009F" w:csb1="00000000"/>
  </w:font>
  <w:font w:name="Yu Mincho">
    <w:altName w:val="MS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Aptos">
    <w:altName w:val="Segoe Print"/>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0987530"/>
    <w:multiLevelType w:val="multilevel"/>
    <w:tmpl w:val="0098753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BB3C697"/>
    <w:multiLevelType w:val="singleLevel"/>
    <w:tmpl w:val="0BB3C697"/>
    <w:lvl w:ilvl="0" w:tentative="0">
      <w:start w:val="1"/>
      <w:numFmt w:val="decimal"/>
      <w:suff w:val="space"/>
      <w:lvlText w:val="(%1)"/>
      <w:lvlJc w:val="left"/>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0DCE53C4"/>
    <w:multiLevelType w:val="multilevel"/>
    <w:tmpl w:val="0DCE53C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7BE699D"/>
    <w:multiLevelType w:val="multilevel"/>
    <w:tmpl w:val="27BE699D"/>
    <w:lvl w:ilvl="0" w:tentative="0">
      <w:start w:val="105"/>
      <w:numFmt w:val="bullet"/>
      <w:lvlText w:val="-"/>
      <w:lvlJc w:val="left"/>
      <w:pPr>
        <w:ind w:left="720" w:hanging="360"/>
      </w:pPr>
      <w:rPr>
        <w:rFonts w:hint="default" w:ascii="Aptos" w:hAnsi="Aptos" w:eastAsiaTheme="minorEastAsia" w:cstheme="minorBid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8">
    <w:nsid w:val="349C794D"/>
    <w:multiLevelType w:val="multilevel"/>
    <w:tmpl w:val="349C794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7AD2B11"/>
    <w:multiLevelType w:val="multilevel"/>
    <w:tmpl w:val="37AD2B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11">
    <w:nsid w:val="45B14FFF"/>
    <w:multiLevelType w:val="multilevel"/>
    <w:tmpl w:val="45B14FFF"/>
    <w:lvl w:ilvl="0" w:tentative="0">
      <w:start w:val="1"/>
      <w:numFmt w:val="bullet"/>
      <w:lvlText w:val=""/>
      <w:lvlJc w:val="left"/>
      <w:pPr>
        <w:ind w:left="864" w:hanging="440"/>
      </w:pPr>
      <w:rPr>
        <w:rFonts w:hint="default" w:ascii="Wingdings" w:hAnsi="Wingdings"/>
        <w:sz w:val="11"/>
        <w:szCs w:val="11"/>
      </w:rPr>
    </w:lvl>
    <w:lvl w:ilvl="1" w:tentative="0">
      <w:start w:val="1"/>
      <w:numFmt w:val="bullet"/>
      <w:lvlText w:val=""/>
      <w:lvlJc w:val="left"/>
      <w:pPr>
        <w:ind w:left="1304" w:hanging="440"/>
      </w:pPr>
      <w:rPr>
        <w:rFonts w:hint="default" w:ascii="Wingdings" w:hAnsi="Wingdings"/>
      </w:rPr>
    </w:lvl>
    <w:lvl w:ilvl="2" w:tentative="0">
      <w:start w:val="1"/>
      <w:numFmt w:val="bullet"/>
      <w:lvlText w:val=""/>
      <w:lvlJc w:val="left"/>
      <w:pPr>
        <w:ind w:left="1744" w:hanging="440"/>
      </w:pPr>
      <w:rPr>
        <w:rFonts w:hint="default" w:ascii="Wingdings" w:hAnsi="Wingdings"/>
      </w:rPr>
    </w:lvl>
    <w:lvl w:ilvl="3" w:tentative="0">
      <w:start w:val="1"/>
      <w:numFmt w:val="bullet"/>
      <w:lvlText w:val=""/>
      <w:lvlJc w:val="left"/>
      <w:pPr>
        <w:ind w:left="2184" w:hanging="440"/>
      </w:pPr>
      <w:rPr>
        <w:rFonts w:hint="default" w:ascii="Wingdings" w:hAnsi="Wingdings"/>
      </w:rPr>
    </w:lvl>
    <w:lvl w:ilvl="4" w:tentative="0">
      <w:start w:val="1"/>
      <w:numFmt w:val="bullet"/>
      <w:lvlText w:val=""/>
      <w:lvlJc w:val="left"/>
      <w:pPr>
        <w:ind w:left="2624" w:hanging="440"/>
      </w:pPr>
      <w:rPr>
        <w:rFonts w:hint="default" w:ascii="Wingdings" w:hAnsi="Wingdings"/>
      </w:rPr>
    </w:lvl>
    <w:lvl w:ilvl="5" w:tentative="0">
      <w:start w:val="1"/>
      <w:numFmt w:val="bullet"/>
      <w:lvlText w:val=""/>
      <w:lvlJc w:val="left"/>
      <w:pPr>
        <w:ind w:left="3064" w:hanging="440"/>
      </w:pPr>
      <w:rPr>
        <w:rFonts w:hint="default" w:ascii="Wingdings" w:hAnsi="Wingdings"/>
      </w:rPr>
    </w:lvl>
    <w:lvl w:ilvl="6" w:tentative="0">
      <w:start w:val="1"/>
      <w:numFmt w:val="bullet"/>
      <w:lvlText w:val=""/>
      <w:lvlJc w:val="left"/>
      <w:pPr>
        <w:ind w:left="3504" w:hanging="440"/>
      </w:pPr>
      <w:rPr>
        <w:rFonts w:hint="default" w:ascii="Wingdings" w:hAnsi="Wingdings"/>
      </w:rPr>
    </w:lvl>
    <w:lvl w:ilvl="7" w:tentative="0">
      <w:start w:val="1"/>
      <w:numFmt w:val="bullet"/>
      <w:lvlText w:val=""/>
      <w:lvlJc w:val="left"/>
      <w:pPr>
        <w:ind w:left="3944" w:hanging="440"/>
      </w:pPr>
      <w:rPr>
        <w:rFonts w:hint="default" w:ascii="Wingdings" w:hAnsi="Wingdings"/>
      </w:rPr>
    </w:lvl>
    <w:lvl w:ilvl="8" w:tentative="0">
      <w:start w:val="1"/>
      <w:numFmt w:val="bullet"/>
      <w:lvlText w:val=""/>
      <w:lvlJc w:val="left"/>
      <w:pPr>
        <w:ind w:left="4384" w:hanging="440"/>
      </w:pPr>
      <w:rPr>
        <w:rFonts w:hint="default" w:ascii="Wingdings" w:hAnsi="Wingdings"/>
      </w:rPr>
    </w:lvl>
  </w:abstractNum>
  <w:abstractNum w:abstractNumId="12">
    <w:nsid w:val="473E4CA6"/>
    <w:multiLevelType w:val="multilevel"/>
    <w:tmpl w:val="473E4C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2BF1D56"/>
    <w:multiLevelType w:val="multilevel"/>
    <w:tmpl w:val="52BF1D56"/>
    <w:lvl w:ilvl="0" w:tentative="0">
      <w:start w:val="0"/>
      <w:numFmt w:val="bullet"/>
      <w:lvlText w:val="-"/>
      <w:lvlJc w:val="left"/>
      <w:pPr>
        <w:tabs>
          <w:tab w:val="left" w:pos="-420"/>
        </w:tabs>
        <w:ind w:left="300" w:hanging="360"/>
      </w:pPr>
      <w:rPr>
        <w:rFonts w:hint="default" w:ascii="Times New Roman" w:hAnsi="Times New Roman" w:eastAsia="MS Mincho"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4">
    <w:nsid w:val="58B73482"/>
    <w:multiLevelType w:val="multilevel"/>
    <w:tmpl w:val="58B73482"/>
    <w:lvl w:ilvl="0" w:tentative="0">
      <w:start w:val="1"/>
      <w:numFmt w:val="bullet"/>
      <w:lvlText w:val=""/>
      <w:lvlJc w:val="left"/>
      <w:pPr>
        <w:ind w:left="576" w:hanging="360"/>
      </w:pPr>
      <w:rPr>
        <w:rFonts w:hint="default" w:ascii="Wingdings" w:hAnsi="Wingdings"/>
      </w:rPr>
    </w:lvl>
    <w:lvl w:ilvl="1" w:tentative="0">
      <w:start w:val="1"/>
      <w:numFmt w:val="bullet"/>
      <w:lvlText w:val=""/>
      <w:lvlJc w:val="left"/>
      <w:pPr>
        <w:ind w:left="1296" w:hanging="360"/>
      </w:pPr>
      <w:rPr>
        <w:rFonts w:hint="default" w:ascii="Wingdings" w:hAnsi="Wingdings"/>
      </w:rPr>
    </w:lvl>
    <w:lvl w:ilvl="2" w:tentative="0">
      <w:start w:val="1"/>
      <w:numFmt w:val="bullet"/>
      <w:lvlText w:val=""/>
      <w:lvlJc w:val="left"/>
      <w:pPr>
        <w:ind w:left="2016" w:hanging="360"/>
      </w:pPr>
      <w:rPr>
        <w:rFonts w:hint="default" w:ascii="Wingdings" w:hAnsi="Wingdings"/>
      </w:rPr>
    </w:lvl>
    <w:lvl w:ilvl="3" w:tentative="0">
      <w:start w:val="1"/>
      <w:numFmt w:val="bullet"/>
      <w:lvlText w:val=""/>
      <w:lvlJc w:val="left"/>
      <w:pPr>
        <w:ind w:left="2736" w:hanging="360"/>
      </w:pPr>
      <w:rPr>
        <w:rFonts w:hint="default" w:ascii="Wingdings" w:hAnsi="Wingdings"/>
      </w:rPr>
    </w:lvl>
    <w:lvl w:ilvl="4" w:tentative="0">
      <w:start w:val="1"/>
      <w:numFmt w:val="bullet"/>
      <w:lvlText w:val="o"/>
      <w:lvlJc w:val="left"/>
      <w:pPr>
        <w:ind w:left="3456" w:hanging="360"/>
      </w:pPr>
      <w:rPr>
        <w:rFonts w:hint="default" w:ascii="Courier New" w:hAnsi="Courier New" w:cs="Courier New"/>
      </w:rPr>
    </w:lvl>
    <w:lvl w:ilvl="5" w:tentative="0">
      <w:start w:val="1"/>
      <w:numFmt w:val="bullet"/>
      <w:lvlText w:val=""/>
      <w:lvlJc w:val="left"/>
      <w:pPr>
        <w:ind w:left="4176" w:hanging="360"/>
      </w:pPr>
      <w:rPr>
        <w:rFonts w:hint="default" w:ascii="Wingdings" w:hAnsi="Wingdings"/>
      </w:rPr>
    </w:lvl>
    <w:lvl w:ilvl="6" w:tentative="0">
      <w:start w:val="1"/>
      <w:numFmt w:val="bullet"/>
      <w:lvlText w:val=""/>
      <w:lvlJc w:val="left"/>
      <w:pPr>
        <w:ind w:left="4896" w:hanging="360"/>
      </w:pPr>
      <w:rPr>
        <w:rFonts w:hint="default" w:ascii="Symbol" w:hAnsi="Symbol"/>
      </w:rPr>
    </w:lvl>
    <w:lvl w:ilvl="7" w:tentative="0">
      <w:start w:val="1"/>
      <w:numFmt w:val="bullet"/>
      <w:lvlText w:val="o"/>
      <w:lvlJc w:val="left"/>
      <w:pPr>
        <w:ind w:left="5616" w:hanging="360"/>
      </w:pPr>
      <w:rPr>
        <w:rFonts w:hint="default" w:ascii="Courier New" w:hAnsi="Courier New" w:cs="Courier New"/>
      </w:rPr>
    </w:lvl>
    <w:lvl w:ilvl="8" w:tentative="0">
      <w:start w:val="1"/>
      <w:numFmt w:val="bullet"/>
      <w:lvlText w:val=""/>
      <w:lvlJc w:val="left"/>
      <w:pPr>
        <w:ind w:left="6336" w:hanging="360"/>
      </w:pPr>
      <w:rPr>
        <w:rFonts w:hint="default" w:ascii="Wingdings" w:hAnsi="Wingdings"/>
      </w:rPr>
    </w:lvl>
  </w:abstractNum>
  <w:abstractNum w:abstractNumId="15">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16">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7">
    <w:nsid w:val="5C53269D"/>
    <w:multiLevelType w:val="multilevel"/>
    <w:tmpl w:val="5C53269D"/>
    <w:lvl w:ilvl="0" w:tentative="0">
      <w:start w:val="1"/>
      <w:numFmt w:val="bullet"/>
      <w:lvlText w:val="-"/>
      <w:lvlJc w:val="left"/>
      <w:pPr>
        <w:ind w:left="720" w:hanging="360"/>
      </w:pPr>
      <w:rPr>
        <w:rFonts w:hint="default" w:ascii="Times New Roman" w:hAnsi="Times New Roman" w:eastAsia="Yu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AD404FD"/>
    <w:multiLevelType w:val="multilevel"/>
    <w:tmpl w:val="6AD404F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F3B48CA"/>
    <w:multiLevelType w:val="multilevel"/>
    <w:tmpl w:val="7F3B48C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6"/>
  </w:num>
  <w:num w:numId="3">
    <w:abstractNumId w:val="7"/>
  </w:num>
  <w:num w:numId="4">
    <w:abstractNumId w:val="10"/>
  </w:num>
  <w:num w:numId="5">
    <w:abstractNumId w:val="1"/>
  </w:num>
  <w:num w:numId="6">
    <w:abstractNumId w:val="0"/>
  </w:num>
  <w:num w:numId="7">
    <w:abstractNumId w:val="13"/>
  </w:num>
  <w:num w:numId="8">
    <w:abstractNumId w:val="17"/>
  </w:num>
  <w:num w:numId="9">
    <w:abstractNumId w:val="11"/>
  </w:num>
  <w:num w:numId="10">
    <w:abstractNumId w:val="14"/>
  </w:num>
  <w:num w:numId="11">
    <w:abstractNumId w:val="15"/>
  </w:num>
  <w:num w:numId="12">
    <w:abstractNumId w:val="3"/>
  </w:num>
  <w:num w:numId="13">
    <w:abstractNumId w:val="2"/>
  </w:num>
  <w:num w:numId="14">
    <w:abstractNumId w:val="18"/>
  </w:num>
  <w:num w:numId="15">
    <w:abstractNumId w:val="12"/>
  </w:num>
  <w:num w:numId="16">
    <w:abstractNumId w:val="6"/>
  </w:num>
  <w:num w:numId="17">
    <w:abstractNumId w:val="9"/>
  </w:num>
  <w:num w:numId="18">
    <w:abstractNumId w:val="5"/>
  </w:num>
  <w:num w:numId="19">
    <w:abstractNumId w:val="1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0CC1"/>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25154"/>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56F"/>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D17E6"/>
    <w:rsid w:val="00DD2C4F"/>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0796"/>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37AF"/>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626D55"/>
    <w:rsid w:val="01764F01"/>
    <w:rsid w:val="018037B3"/>
    <w:rsid w:val="018107C9"/>
    <w:rsid w:val="01854FE9"/>
    <w:rsid w:val="018E207B"/>
    <w:rsid w:val="018F687C"/>
    <w:rsid w:val="0190283E"/>
    <w:rsid w:val="019D155B"/>
    <w:rsid w:val="01A428BB"/>
    <w:rsid w:val="01A85E3F"/>
    <w:rsid w:val="01AE307F"/>
    <w:rsid w:val="01B35169"/>
    <w:rsid w:val="01C00B7B"/>
    <w:rsid w:val="01CA1BFC"/>
    <w:rsid w:val="01D46B8D"/>
    <w:rsid w:val="01D866D8"/>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D7381"/>
    <w:rsid w:val="028F6D4C"/>
    <w:rsid w:val="029A69A7"/>
    <w:rsid w:val="029B04E7"/>
    <w:rsid w:val="02D05DDF"/>
    <w:rsid w:val="02DC3F9C"/>
    <w:rsid w:val="03073BDC"/>
    <w:rsid w:val="03082909"/>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874C4"/>
    <w:rsid w:val="03CF67FA"/>
    <w:rsid w:val="03E358F3"/>
    <w:rsid w:val="03E84DE8"/>
    <w:rsid w:val="03F6348B"/>
    <w:rsid w:val="04030035"/>
    <w:rsid w:val="04251A4C"/>
    <w:rsid w:val="042D2E97"/>
    <w:rsid w:val="04305EA0"/>
    <w:rsid w:val="04352418"/>
    <w:rsid w:val="043865BF"/>
    <w:rsid w:val="044C78D8"/>
    <w:rsid w:val="04537B11"/>
    <w:rsid w:val="04684A28"/>
    <w:rsid w:val="0474768C"/>
    <w:rsid w:val="0476348C"/>
    <w:rsid w:val="04782230"/>
    <w:rsid w:val="0479507E"/>
    <w:rsid w:val="04815C0A"/>
    <w:rsid w:val="04894975"/>
    <w:rsid w:val="04AF7979"/>
    <w:rsid w:val="04B14B03"/>
    <w:rsid w:val="04B27FD0"/>
    <w:rsid w:val="04BA53C1"/>
    <w:rsid w:val="04C74F7C"/>
    <w:rsid w:val="04DA1A87"/>
    <w:rsid w:val="04DE2DA3"/>
    <w:rsid w:val="04E878D3"/>
    <w:rsid w:val="04F75CE9"/>
    <w:rsid w:val="04FF1C94"/>
    <w:rsid w:val="04FF7D5A"/>
    <w:rsid w:val="0502349F"/>
    <w:rsid w:val="050E7487"/>
    <w:rsid w:val="051126EC"/>
    <w:rsid w:val="05161D2D"/>
    <w:rsid w:val="0522500E"/>
    <w:rsid w:val="052E568F"/>
    <w:rsid w:val="053973F0"/>
    <w:rsid w:val="053E65E7"/>
    <w:rsid w:val="054E4BC7"/>
    <w:rsid w:val="0555228E"/>
    <w:rsid w:val="05584422"/>
    <w:rsid w:val="055C5454"/>
    <w:rsid w:val="056515DC"/>
    <w:rsid w:val="057009A5"/>
    <w:rsid w:val="057D1D66"/>
    <w:rsid w:val="05972BB7"/>
    <w:rsid w:val="059D265F"/>
    <w:rsid w:val="05B2756C"/>
    <w:rsid w:val="05B92EC1"/>
    <w:rsid w:val="05C40203"/>
    <w:rsid w:val="05D03328"/>
    <w:rsid w:val="05D85E10"/>
    <w:rsid w:val="05E078B3"/>
    <w:rsid w:val="05EE6E49"/>
    <w:rsid w:val="0601277E"/>
    <w:rsid w:val="060C5AED"/>
    <w:rsid w:val="06103146"/>
    <w:rsid w:val="06172561"/>
    <w:rsid w:val="061E54DA"/>
    <w:rsid w:val="061E5E22"/>
    <w:rsid w:val="06460B91"/>
    <w:rsid w:val="0652447E"/>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D143C"/>
    <w:rsid w:val="07426476"/>
    <w:rsid w:val="074855FD"/>
    <w:rsid w:val="075D3328"/>
    <w:rsid w:val="07627CA0"/>
    <w:rsid w:val="076319C4"/>
    <w:rsid w:val="07691233"/>
    <w:rsid w:val="07716E36"/>
    <w:rsid w:val="077241E3"/>
    <w:rsid w:val="078C5933"/>
    <w:rsid w:val="078D336C"/>
    <w:rsid w:val="07905D82"/>
    <w:rsid w:val="07905E8F"/>
    <w:rsid w:val="07971B3F"/>
    <w:rsid w:val="07983294"/>
    <w:rsid w:val="07A5677E"/>
    <w:rsid w:val="07B51934"/>
    <w:rsid w:val="07B9290D"/>
    <w:rsid w:val="07BB64F5"/>
    <w:rsid w:val="07BE52B9"/>
    <w:rsid w:val="07C5765D"/>
    <w:rsid w:val="07D57946"/>
    <w:rsid w:val="07D70D20"/>
    <w:rsid w:val="07E24FF4"/>
    <w:rsid w:val="07ED524D"/>
    <w:rsid w:val="080124E3"/>
    <w:rsid w:val="080C7FA0"/>
    <w:rsid w:val="080D6CA2"/>
    <w:rsid w:val="082D5BBC"/>
    <w:rsid w:val="08341060"/>
    <w:rsid w:val="08787FF0"/>
    <w:rsid w:val="0889002B"/>
    <w:rsid w:val="08A200D8"/>
    <w:rsid w:val="08A44DA6"/>
    <w:rsid w:val="08AA245A"/>
    <w:rsid w:val="08BA6E24"/>
    <w:rsid w:val="08C562FD"/>
    <w:rsid w:val="08CA2731"/>
    <w:rsid w:val="08CA27B1"/>
    <w:rsid w:val="08CE6218"/>
    <w:rsid w:val="08E32720"/>
    <w:rsid w:val="08E56C64"/>
    <w:rsid w:val="08E916DF"/>
    <w:rsid w:val="08FC0AA5"/>
    <w:rsid w:val="09291241"/>
    <w:rsid w:val="09306537"/>
    <w:rsid w:val="09355076"/>
    <w:rsid w:val="09392119"/>
    <w:rsid w:val="09445E95"/>
    <w:rsid w:val="09543B3B"/>
    <w:rsid w:val="09600FBD"/>
    <w:rsid w:val="0963672B"/>
    <w:rsid w:val="096843B7"/>
    <w:rsid w:val="09734970"/>
    <w:rsid w:val="098143BC"/>
    <w:rsid w:val="09862E2D"/>
    <w:rsid w:val="099E309A"/>
    <w:rsid w:val="099F436D"/>
    <w:rsid w:val="09A66CF5"/>
    <w:rsid w:val="09BD407A"/>
    <w:rsid w:val="09D322CE"/>
    <w:rsid w:val="09DA0E26"/>
    <w:rsid w:val="09DC10BE"/>
    <w:rsid w:val="09E55691"/>
    <w:rsid w:val="09F67CD5"/>
    <w:rsid w:val="0A0835C8"/>
    <w:rsid w:val="0A145721"/>
    <w:rsid w:val="0A1F01B6"/>
    <w:rsid w:val="0A2B13BC"/>
    <w:rsid w:val="0A3708FF"/>
    <w:rsid w:val="0A3A5FEA"/>
    <w:rsid w:val="0A3B01F9"/>
    <w:rsid w:val="0A3F0488"/>
    <w:rsid w:val="0A402A36"/>
    <w:rsid w:val="0A646846"/>
    <w:rsid w:val="0A9B1B16"/>
    <w:rsid w:val="0A9E3D3D"/>
    <w:rsid w:val="0AA077E0"/>
    <w:rsid w:val="0AC0212C"/>
    <w:rsid w:val="0AC27B0C"/>
    <w:rsid w:val="0ACB2C6F"/>
    <w:rsid w:val="0AD542C1"/>
    <w:rsid w:val="0ADA3AD9"/>
    <w:rsid w:val="0ADD5A20"/>
    <w:rsid w:val="0AE10FD9"/>
    <w:rsid w:val="0AF13898"/>
    <w:rsid w:val="0AFB3228"/>
    <w:rsid w:val="0AFC6C07"/>
    <w:rsid w:val="0AFE5CA1"/>
    <w:rsid w:val="0B0F025C"/>
    <w:rsid w:val="0B0F0DA6"/>
    <w:rsid w:val="0B13439A"/>
    <w:rsid w:val="0B1A6333"/>
    <w:rsid w:val="0B2713F4"/>
    <w:rsid w:val="0B272F83"/>
    <w:rsid w:val="0B3326AE"/>
    <w:rsid w:val="0B3D701F"/>
    <w:rsid w:val="0B3E7DD7"/>
    <w:rsid w:val="0B561995"/>
    <w:rsid w:val="0B5C2C2A"/>
    <w:rsid w:val="0B665E0A"/>
    <w:rsid w:val="0B6B55CC"/>
    <w:rsid w:val="0B791556"/>
    <w:rsid w:val="0B7B11F4"/>
    <w:rsid w:val="0B8406F4"/>
    <w:rsid w:val="0B8436DD"/>
    <w:rsid w:val="0B847B39"/>
    <w:rsid w:val="0B914186"/>
    <w:rsid w:val="0B9E71DF"/>
    <w:rsid w:val="0BB524B8"/>
    <w:rsid w:val="0BC63DB2"/>
    <w:rsid w:val="0BCC4043"/>
    <w:rsid w:val="0BCC4B6A"/>
    <w:rsid w:val="0C1E494F"/>
    <w:rsid w:val="0C2059EB"/>
    <w:rsid w:val="0C2E6A23"/>
    <w:rsid w:val="0C3427D0"/>
    <w:rsid w:val="0C43327D"/>
    <w:rsid w:val="0C4426AF"/>
    <w:rsid w:val="0C4577EC"/>
    <w:rsid w:val="0C5C6396"/>
    <w:rsid w:val="0C647D62"/>
    <w:rsid w:val="0C650A20"/>
    <w:rsid w:val="0C6E11B8"/>
    <w:rsid w:val="0C723CD1"/>
    <w:rsid w:val="0C7253F3"/>
    <w:rsid w:val="0C8841B6"/>
    <w:rsid w:val="0CB72726"/>
    <w:rsid w:val="0CB752EB"/>
    <w:rsid w:val="0CB94808"/>
    <w:rsid w:val="0CBD28F6"/>
    <w:rsid w:val="0CC37BC2"/>
    <w:rsid w:val="0CC83EB0"/>
    <w:rsid w:val="0CD87ABE"/>
    <w:rsid w:val="0CDD1EC5"/>
    <w:rsid w:val="0CE26C42"/>
    <w:rsid w:val="0CE76B48"/>
    <w:rsid w:val="0CED4443"/>
    <w:rsid w:val="0CF62FDB"/>
    <w:rsid w:val="0CFB523A"/>
    <w:rsid w:val="0D0D4F8E"/>
    <w:rsid w:val="0D2132FE"/>
    <w:rsid w:val="0D4B44A1"/>
    <w:rsid w:val="0D6E10F4"/>
    <w:rsid w:val="0D6E2620"/>
    <w:rsid w:val="0D704E21"/>
    <w:rsid w:val="0D753731"/>
    <w:rsid w:val="0D794A06"/>
    <w:rsid w:val="0D7F48FE"/>
    <w:rsid w:val="0D826E5C"/>
    <w:rsid w:val="0D883C88"/>
    <w:rsid w:val="0D900677"/>
    <w:rsid w:val="0D966BF7"/>
    <w:rsid w:val="0DA232AE"/>
    <w:rsid w:val="0DA454F4"/>
    <w:rsid w:val="0DBD71A3"/>
    <w:rsid w:val="0DCC3AE8"/>
    <w:rsid w:val="0DD87842"/>
    <w:rsid w:val="0DED1772"/>
    <w:rsid w:val="0DF202E1"/>
    <w:rsid w:val="0DF53CE3"/>
    <w:rsid w:val="0E0961C5"/>
    <w:rsid w:val="0E131C69"/>
    <w:rsid w:val="0E147898"/>
    <w:rsid w:val="0E2240AB"/>
    <w:rsid w:val="0E2F216B"/>
    <w:rsid w:val="0E3352C6"/>
    <w:rsid w:val="0E372B53"/>
    <w:rsid w:val="0E533A98"/>
    <w:rsid w:val="0E5433AA"/>
    <w:rsid w:val="0E6271DF"/>
    <w:rsid w:val="0E81568A"/>
    <w:rsid w:val="0E942250"/>
    <w:rsid w:val="0E963344"/>
    <w:rsid w:val="0E9E6E00"/>
    <w:rsid w:val="0EA224A6"/>
    <w:rsid w:val="0EA40C1C"/>
    <w:rsid w:val="0EA70A66"/>
    <w:rsid w:val="0EB6002E"/>
    <w:rsid w:val="0EC65418"/>
    <w:rsid w:val="0ED50DDE"/>
    <w:rsid w:val="0EE41032"/>
    <w:rsid w:val="0EEC6F1D"/>
    <w:rsid w:val="0EF87542"/>
    <w:rsid w:val="0F103291"/>
    <w:rsid w:val="0F1D498B"/>
    <w:rsid w:val="0F337178"/>
    <w:rsid w:val="0F3717C9"/>
    <w:rsid w:val="0F41022A"/>
    <w:rsid w:val="0F4F4077"/>
    <w:rsid w:val="0F5B49B1"/>
    <w:rsid w:val="0F60682C"/>
    <w:rsid w:val="0F6763D9"/>
    <w:rsid w:val="0F702E87"/>
    <w:rsid w:val="0F715B2B"/>
    <w:rsid w:val="0F7616FC"/>
    <w:rsid w:val="0F764270"/>
    <w:rsid w:val="0F7F273F"/>
    <w:rsid w:val="0F8418ED"/>
    <w:rsid w:val="0F9343C3"/>
    <w:rsid w:val="0F957B47"/>
    <w:rsid w:val="0F98796C"/>
    <w:rsid w:val="0F9F6FA4"/>
    <w:rsid w:val="0FA65D5C"/>
    <w:rsid w:val="0FAD33DA"/>
    <w:rsid w:val="0FB74CF0"/>
    <w:rsid w:val="0FB9666D"/>
    <w:rsid w:val="0FBE2A42"/>
    <w:rsid w:val="0FC17CCE"/>
    <w:rsid w:val="0FC424B9"/>
    <w:rsid w:val="0FD70565"/>
    <w:rsid w:val="0FEC680C"/>
    <w:rsid w:val="0FEF4A30"/>
    <w:rsid w:val="0FFD1BFC"/>
    <w:rsid w:val="0FFD3E3B"/>
    <w:rsid w:val="10007AD6"/>
    <w:rsid w:val="100E19D0"/>
    <w:rsid w:val="101007E8"/>
    <w:rsid w:val="10165F74"/>
    <w:rsid w:val="101C4A03"/>
    <w:rsid w:val="101D0C86"/>
    <w:rsid w:val="10257C82"/>
    <w:rsid w:val="10431B36"/>
    <w:rsid w:val="104A023B"/>
    <w:rsid w:val="10505F3B"/>
    <w:rsid w:val="105A6448"/>
    <w:rsid w:val="106D2686"/>
    <w:rsid w:val="107C3E2C"/>
    <w:rsid w:val="107D41AE"/>
    <w:rsid w:val="108C2479"/>
    <w:rsid w:val="109C5E4D"/>
    <w:rsid w:val="10AF5931"/>
    <w:rsid w:val="10C715C5"/>
    <w:rsid w:val="10D335EF"/>
    <w:rsid w:val="10DC1784"/>
    <w:rsid w:val="10E746EA"/>
    <w:rsid w:val="10E83FE0"/>
    <w:rsid w:val="10EC3168"/>
    <w:rsid w:val="10F52718"/>
    <w:rsid w:val="112F0C2C"/>
    <w:rsid w:val="114028DC"/>
    <w:rsid w:val="11404ED0"/>
    <w:rsid w:val="116A74C9"/>
    <w:rsid w:val="116F1EB0"/>
    <w:rsid w:val="117B1D6A"/>
    <w:rsid w:val="117C2D9D"/>
    <w:rsid w:val="117F159E"/>
    <w:rsid w:val="11821DC9"/>
    <w:rsid w:val="11822874"/>
    <w:rsid w:val="11921373"/>
    <w:rsid w:val="119C45DF"/>
    <w:rsid w:val="119D7849"/>
    <w:rsid w:val="11C67B8F"/>
    <w:rsid w:val="11E57D4F"/>
    <w:rsid w:val="11F92DAB"/>
    <w:rsid w:val="11FC38D5"/>
    <w:rsid w:val="1201463E"/>
    <w:rsid w:val="12095296"/>
    <w:rsid w:val="120C5DAD"/>
    <w:rsid w:val="1210682D"/>
    <w:rsid w:val="12124AB5"/>
    <w:rsid w:val="121563D9"/>
    <w:rsid w:val="12200A87"/>
    <w:rsid w:val="1227318C"/>
    <w:rsid w:val="12386D2E"/>
    <w:rsid w:val="123A05DB"/>
    <w:rsid w:val="123D3E33"/>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351B"/>
    <w:rsid w:val="12D85654"/>
    <w:rsid w:val="12EE5106"/>
    <w:rsid w:val="13024DF8"/>
    <w:rsid w:val="1307341C"/>
    <w:rsid w:val="130E3629"/>
    <w:rsid w:val="131B39DD"/>
    <w:rsid w:val="13246C2D"/>
    <w:rsid w:val="13283BA4"/>
    <w:rsid w:val="13332F77"/>
    <w:rsid w:val="13334E1C"/>
    <w:rsid w:val="13346EE4"/>
    <w:rsid w:val="13384952"/>
    <w:rsid w:val="1340403C"/>
    <w:rsid w:val="134F381A"/>
    <w:rsid w:val="1355107F"/>
    <w:rsid w:val="135D4D2E"/>
    <w:rsid w:val="1366638D"/>
    <w:rsid w:val="136D76E8"/>
    <w:rsid w:val="137266E0"/>
    <w:rsid w:val="138E530D"/>
    <w:rsid w:val="13AA5FA1"/>
    <w:rsid w:val="13C20262"/>
    <w:rsid w:val="13D024B3"/>
    <w:rsid w:val="13D115EF"/>
    <w:rsid w:val="13D214FD"/>
    <w:rsid w:val="13D57D6C"/>
    <w:rsid w:val="13D86A45"/>
    <w:rsid w:val="13DD445E"/>
    <w:rsid w:val="13FD073F"/>
    <w:rsid w:val="140171D9"/>
    <w:rsid w:val="1405674E"/>
    <w:rsid w:val="140815BB"/>
    <w:rsid w:val="14087FC1"/>
    <w:rsid w:val="14095006"/>
    <w:rsid w:val="141E583B"/>
    <w:rsid w:val="1424615D"/>
    <w:rsid w:val="142C143A"/>
    <w:rsid w:val="14482BFD"/>
    <w:rsid w:val="145D452A"/>
    <w:rsid w:val="145F07C7"/>
    <w:rsid w:val="146C5189"/>
    <w:rsid w:val="14794EEF"/>
    <w:rsid w:val="14816B50"/>
    <w:rsid w:val="148313F4"/>
    <w:rsid w:val="1484169C"/>
    <w:rsid w:val="14934F1A"/>
    <w:rsid w:val="149559C4"/>
    <w:rsid w:val="14A759A3"/>
    <w:rsid w:val="14AC0C32"/>
    <w:rsid w:val="14BA590D"/>
    <w:rsid w:val="14C4135D"/>
    <w:rsid w:val="14C45576"/>
    <w:rsid w:val="14C76D6C"/>
    <w:rsid w:val="14DA3DA1"/>
    <w:rsid w:val="14DD3D2F"/>
    <w:rsid w:val="14E60B42"/>
    <w:rsid w:val="14EA1C4D"/>
    <w:rsid w:val="1515004B"/>
    <w:rsid w:val="151D66BC"/>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C0054B"/>
    <w:rsid w:val="15DE29CF"/>
    <w:rsid w:val="15E30A80"/>
    <w:rsid w:val="15F77CD3"/>
    <w:rsid w:val="16002A66"/>
    <w:rsid w:val="160228F0"/>
    <w:rsid w:val="1608480E"/>
    <w:rsid w:val="161C1C58"/>
    <w:rsid w:val="162F7556"/>
    <w:rsid w:val="16413A3A"/>
    <w:rsid w:val="1644500C"/>
    <w:rsid w:val="16461A95"/>
    <w:rsid w:val="16594F06"/>
    <w:rsid w:val="16603885"/>
    <w:rsid w:val="166261D9"/>
    <w:rsid w:val="1663404B"/>
    <w:rsid w:val="166F5E80"/>
    <w:rsid w:val="16766A92"/>
    <w:rsid w:val="167A52A9"/>
    <w:rsid w:val="16866882"/>
    <w:rsid w:val="168C392F"/>
    <w:rsid w:val="168F69F2"/>
    <w:rsid w:val="169C7FDE"/>
    <w:rsid w:val="16A4319F"/>
    <w:rsid w:val="16AC4DDB"/>
    <w:rsid w:val="16AE2FE3"/>
    <w:rsid w:val="16B05DC8"/>
    <w:rsid w:val="16B4400E"/>
    <w:rsid w:val="16C739DF"/>
    <w:rsid w:val="16DD3B26"/>
    <w:rsid w:val="16EB6E00"/>
    <w:rsid w:val="16FD2447"/>
    <w:rsid w:val="170A628B"/>
    <w:rsid w:val="1712339A"/>
    <w:rsid w:val="171C60F0"/>
    <w:rsid w:val="171E63FC"/>
    <w:rsid w:val="1722504D"/>
    <w:rsid w:val="17276DF4"/>
    <w:rsid w:val="1738730F"/>
    <w:rsid w:val="17416499"/>
    <w:rsid w:val="17481B81"/>
    <w:rsid w:val="175007ED"/>
    <w:rsid w:val="17610597"/>
    <w:rsid w:val="176B45C6"/>
    <w:rsid w:val="176C447F"/>
    <w:rsid w:val="176D617B"/>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57F4E"/>
    <w:rsid w:val="1806062C"/>
    <w:rsid w:val="18171305"/>
    <w:rsid w:val="181C41D3"/>
    <w:rsid w:val="18334194"/>
    <w:rsid w:val="183E1D37"/>
    <w:rsid w:val="184D0787"/>
    <w:rsid w:val="185D1883"/>
    <w:rsid w:val="18812331"/>
    <w:rsid w:val="18816F1C"/>
    <w:rsid w:val="18853F3E"/>
    <w:rsid w:val="18945127"/>
    <w:rsid w:val="18956393"/>
    <w:rsid w:val="18A8582C"/>
    <w:rsid w:val="18A96D72"/>
    <w:rsid w:val="18B50543"/>
    <w:rsid w:val="18CD7A02"/>
    <w:rsid w:val="19001FFC"/>
    <w:rsid w:val="190E2B4A"/>
    <w:rsid w:val="19256D7A"/>
    <w:rsid w:val="19322C83"/>
    <w:rsid w:val="193275C2"/>
    <w:rsid w:val="19394FD2"/>
    <w:rsid w:val="19413FB3"/>
    <w:rsid w:val="195F2820"/>
    <w:rsid w:val="195F3A6C"/>
    <w:rsid w:val="19663168"/>
    <w:rsid w:val="19786B0A"/>
    <w:rsid w:val="197D5C29"/>
    <w:rsid w:val="199A2059"/>
    <w:rsid w:val="19AD5184"/>
    <w:rsid w:val="19B46E10"/>
    <w:rsid w:val="19B7582F"/>
    <w:rsid w:val="19C456C1"/>
    <w:rsid w:val="19D75435"/>
    <w:rsid w:val="19DA4289"/>
    <w:rsid w:val="19DD71E7"/>
    <w:rsid w:val="19F061A1"/>
    <w:rsid w:val="1A054259"/>
    <w:rsid w:val="1A081816"/>
    <w:rsid w:val="1A165171"/>
    <w:rsid w:val="1A4858FF"/>
    <w:rsid w:val="1A4C698A"/>
    <w:rsid w:val="1A5E4B5A"/>
    <w:rsid w:val="1A612F84"/>
    <w:rsid w:val="1A672B1C"/>
    <w:rsid w:val="1A800F48"/>
    <w:rsid w:val="1A8301C0"/>
    <w:rsid w:val="1A872248"/>
    <w:rsid w:val="1A880997"/>
    <w:rsid w:val="1A9B2279"/>
    <w:rsid w:val="1A9E6232"/>
    <w:rsid w:val="1AA74D3D"/>
    <w:rsid w:val="1AB34DB4"/>
    <w:rsid w:val="1AB613FD"/>
    <w:rsid w:val="1ACF5EB8"/>
    <w:rsid w:val="1AD26086"/>
    <w:rsid w:val="1AE013F8"/>
    <w:rsid w:val="1AE8570C"/>
    <w:rsid w:val="1AFB06A3"/>
    <w:rsid w:val="1B0818E3"/>
    <w:rsid w:val="1B0F19AE"/>
    <w:rsid w:val="1B2160BB"/>
    <w:rsid w:val="1B3637AD"/>
    <w:rsid w:val="1B3E0DB5"/>
    <w:rsid w:val="1B3E7557"/>
    <w:rsid w:val="1B454C94"/>
    <w:rsid w:val="1B5258E6"/>
    <w:rsid w:val="1B570F89"/>
    <w:rsid w:val="1B6404E0"/>
    <w:rsid w:val="1B6A54A6"/>
    <w:rsid w:val="1B6C0DF0"/>
    <w:rsid w:val="1B76379D"/>
    <w:rsid w:val="1B7F6005"/>
    <w:rsid w:val="1B9C269A"/>
    <w:rsid w:val="1B9E64C5"/>
    <w:rsid w:val="1BB86C40"/>
    <w:rsid w:val="1BBE493C"/>
    <w:rsid w:val="1BC01115"/>
    <w:rsid w:val="1BC36606"/>
    <w:rsid w:val="1BC44015"/>
    <w:rsid w:val="1BCA6284"/>
    <w:rsid w:val="1BD11C33"/>
    <w:rsid w:val="1BD146FC"/>
    <w:rsid w:val="1BF86C63"/>
    <w:rsid w:val="1C013494"/>
    <w:rsid w:val="1C053414"/>
    <w:rsid w:val="1C0C6675"/>
    <w:rsid w:val="1C112A1C"/>
    <w:rsid w:val="1C132CB9"/>
    <w:rsid w:val="1C1A6AF0"/>
    <w:rsid w:val="1C273D33"/>
    <w:rsid w:val="1C4032AB"/>
    <w:rsid w:val="1C4672ED"/>
    <w:rsid w:val="1C467AB6"/>
    <w:rsid w:val="1C4A15F3"/>
    <w:rsid w:val="1C4D51EF"/>
    <w:rsid w:val="1C5E7298"/>
    <w:rsid w:val="1C6277A9"/>
    <w:rsid w:val="1C7F54CE"/>
    <w:rsid w:val="1C7F743F"/>
    <w:rsid w:val="1C8708F6"/>
    <w:rsid w:val="1C8C4AA9"/>
    <w:rsid w:val="1C8C604B"/>
    <w:rsid w:val="1C92160B"/>
    <w:rsid w:val="1C973EEF"/>
    <w:rsid w:val="1CA03243"/>
    <w:rsid w:val="1CAF5DB2"/>
    <w:rsid w:val="1CB61741"/>
    <w:rsid w:val="1CC73445"/>
    <w:rsid w:val="1CCC26CA"/>
    <w:rsid w:val="1CD2156B"/>
    <w:rsid w:val="1CD41743"/>
    <w:rsid w:val="1CD44D3D"/>
    <w:rsid w:val="1CDF19AE"/>
    <w:rsid w:val="1CDF48C5"/>
    <w:rsid w:val="1CE615C9"/>
    <w:rsid w:val="1CF1420C"/>
    <w:rsid w:val="1D037029"/>
    <w:rsid w:val="1D0C4B86"/>
    <w:rsid w:val="1D3305FF"/>
    <w:rsid w:val="1D395282"/>
    <w:rsid w:val="1D5F5386"/>
    <w:rsid w:val="1D6F2959"/>
    <w:rsid w:val="1D7072CE"/>
    <w:rsid w:val="1D9E30A9"/>
    <w:rsid w:val="1DA3542A"/>
    <w:rsid w:val="1DAB1006"/>
    <w:rsid w:val="1DB33C11"/>
    <w:rsid w:val="1DBA7555"/>
    <w:rsid w:val="1DC65562"/>
    <w:rsid w:val="1DD32F44"/>
    <w:rsid w:val="1DE22D4F"/>
    <w:rsid w:val="1DE94164"/>
    <w:rsid w:val="1DEA459C"/>
    <w:rsid w:val="1DEE1B11"/>
    <w:rsid w:val="1E164B52"/>
    <w:rsid w:val="1E273844"/>
    <w:rsid w:val="1E2D426F"/>
    <w:rsid w:val="1E2F243E"/>
    <w:rsid w:val="1E3023CB"/>
    <w:rsid w:val="1E455D19"/>
    <w:rsid w:val="1E591C14"/>
    <w:rsid w:val="1E595CAF"/>
    <w:rsid w:val="1E6607F9"/>
    <w:rsid w:val="1E805396"/>
    <w:rsid w:val="1E884F62"/>
    <w:rsid w:val="1E9D6342"/>
    <w:rsid w:val="1E9D6D15"/>
    <w:rsid w:val="1EA77730"/>
    <w:rsid w:val="1EC36E9D"/>
    <w:rsid w:val="1ED72F24"/>
    <w:rsid w:val="1EDA1028"/>
    <w:rsid w:val="1EDE4CB0"/>
    <w:rsid w:val="1EE25FDD"/>
    <w:rsid w:val="1EF47B1B"/>
    <w:rsid w:val="1EF5103F"/>
    <w:rsid w:val="1EFF5721"/>
    <w:rsid w:val="1F090F9B"/>
    <w:rsid w:val="1F0C5B54"/>
    <w:rsid w:val="1F0E5D6B"/>
    <w:rsid w:val="1F4F2219"/>
    <w:rsid w:val="1F721405"/>
    <w:rsid w:val="1F935819"/>
    <w:rsid w:val="1FA6556D"/>
    <w:rsid w:val="1FAC2235"/>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14938"/>
    <w:rsid w:val="20851970"/>
    <w:rsid w:val="208574F4"/>
    <w:rsid w:val="208F6BAF"/>
    <w:rsid w:val="20A462BA"/>
    <w:rsid w:val="20A976E7"/>
    <w:rsid w:val="20BF2AAC"/>
    <w:rsid w:val="20C849C7"/>
    <w:rsid w:val="20DF66D2"/>
    <w:rsid w:val="20EC3F2E"/>
    <w:rsid w:val="20EC7C3E"/>
    <w:rsid w:val="20F523F6"/>
    <w:rsid w:val="21050673"/>
    <w:rsid w:val="210548E9"/>
    <w:rsid w:val="210A6793"/>
    <w:rsid w:val="21124D15"/>
    <w:rsid w:val="2113274F"/>
    <w:rsid w:val="212B3679"/>
    <w:rsid w:val="213E7119"/>
    <w:rsid w:val="21603012"/>
    <w:rsid w:val="21810744"/>
    <w:rsid w:val="21877F23"/>
    <w:rsid w:val="218D6EF5"/>
    <w:rsid w:val="2195668B"/>
    <w:rsid w:val="219707AA"/>
    <w:rsid w:val="21A130EA"/>
    <w:rsid w:val="21AD1197"/>
    <w:rsid w:val="21C267BF"/>
    <w:rsid w:val="21CB70A9"/>
    <w:rsid w:val="21CD6BCD"/>
    <w:rsid w:val="21CE6067"/>
    <w:rsid w:val="21CE6705"/>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A805E7"/>
    <w:rsid w:val="22C74EE2"/>
    <w:rsid w:val="22CB6237"/>
    <w:rsid w:val="22CD14B5"/>
    <w:rsid w:val="22DC4FC9"/>
    <w:rsid w:val="22E02C6E"/>
    <w:rsid w:val="22E04FF4"/>
    <w:rsid w:val="22E1121B"/>
    <w:rsid w:val="22EA4C70"/>
    <w:rsid w:val="22F75251"/>
    <w:rsid w:val="22F86F75"/>
    <w:rsid w:val="23131055"/>
    <w:rsid w:val="2316334C"/>
    <w:rsid w:val="23362D71"/>
    <w:rsid w:val="233C6F76"/>
    <w:rsid w:val="234449F5"/>
    <w:rsid w:val="23536618"/>
    <w:rsid w:val="235A5E8C"/>
    <w:rsid w:val="23816932"/>
    <w:rsid w:val="23876361"/>
    <w:rsid w:val="23A9484E"/>
    <w:rsid w:val="23B32F98"/>
    <w:rsid w:val="23B84268"/>
    <w:rsid w:val="23CE3CE1"/>
    <w:rsid w:val="23D17D7B"/>
    <w:rsid w:val="23D36D91"/>
    <w:rsid w:val="23D65F44"/>
    <w:rsid w:val="23F70BA5"/>
    <w:rsid w:val="23F93D0D"/>
    <w:rsid w:val="24025806"/>
    <w:rsid w:val="2405417E"/>
    <w:rsid w:val="24096754"/>
    <w:rsid w:val="240B3ACA"/>
    <w:rsid w:val="241B5C62"/>
    <w:rsid w:val="242C1B1B"/>
    <w:rsid w:val="245872F9"/>
    <w:rsid w:val="245943D9"/>
    <w:rsid w:val="245E6B64"/>
    <w:rsid w:val="2463385E"/>
    <w:rsid w:val="246B247D"/>
    <w:rsid w:val="24967323"/>
    <w:rsid w:val="249D5FC8"/>
    <w:rsid w:val="24A1538E"/>
    <w:rsid w:val="24A44BA9"/>
    <w:rsid w:val="24B918AE"/>
    <w:rsid w:val="24B9450F"/>
    <w:rsid w:val="24C83F94"/>
    <w:rsid w:val="24F60CDA"/>
    <w:rsid w:val="24F84634"/>
    <w:rsid w:val="2505023E"/>
    <w:rsid w:val="250D450C"/>
    <w:rsid w:val="25134332"/>
    <w:rsid w:val="25141A5B"/>
    <w:rsid w:val="251A3E5D"/>
    <w:rsid w:val="2521546A"/>
    <w:rsid w:val="252B49E0"/>
    <w:rsid w:val="25566028"/>
    <w:rsid w:val="25734B61"/>
    <w:rsid w:val="2575555D"/>
    <w:rsid w:val="257851FD"/>
    <w:rsid w:val="258B6FDA"/>
    <w:rsid w:val="258F6BC4"/>
    <w:rsid w:val="25975923"/>
    <w:rsid w:val="259A3D0A"/>
    <w:rsid w:val="259C29DF"/>
    <w:rsid w:val="259F452A"/>
    <w:rsid w:val="25A95F3E"/>
    <w:rsid w:val="25BF6041"/>
    <w:rsid w:val="25C35718"/>
    <w:rsid w:val="25CF0252"/>
    <w:rsid w:val="25D0248E"/>
    <w:rsid w:val="25E00B77"/>
    <w:rsid w:val="25F81D70"/>
    <w:rsid w:val="25FB5636"/>
    <w:rsid w:val="25FE58A9"/>
    <w:rsid w:val="26070462"/>
    <w:rsid w:val="260D2C45"/>
    <w:rsid w:val="2637753E"/>
    <w:rsid w:val="26395C92"/>
    <w:rsid w:val="263E694A"/>
    <w:rsid w:val="26484954"/>
    <w:rsid w:val="266237C3"/>
    <w:rsid w:val="266E1273"/>
    <w:rsid w:val="267550B9"/>
    <w:rsid w:val="26A30ADD"/>
    <w:rsid w:val="26C472EC"/>
    <w:rsid w:val="26E66826"/>
    <w:rsid w:val="26EC491A"/>
    <w:rsid w:val="26ED73E1"/>
    <w:rsid w:val="26EF38F6"/>
    <w:rsid w:val="26F32A72"/>
    <w:rsid w:val="26F96584"/>
    <w:rsid w:val="27047832"/>
    <w:rsid w:val="270C6B85"/>
    <w:rsid w:val="27204B5D"/>
    <w:rsid w:val="272F31A0"/>
    <w:rsid w:val="27342901"/>
    <w:rsid w:val="273D2762"/>
    <w:rsid w:val="27470B72"/>
    <w:rsid w:val="27513B3B"/>
    <w:rsid w:val="27525E32"/>
    <w:rsid w:val="27715757"/>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7F31110"/>
    <w:rsid w:val="28027A71"/>
    <w:rsid w:val="281A2E1C"/>
    <w:rsid w:val="281F4F67"/>
    <w:rsid w:val="282370EA"/>
    <w:rsid w:val="283527C3"/>
    <w:rsid w:val="283744B4"/>
    <w:rsid w:val="28485D62"/>
    <w:rsid w:val="285560D7"/>
    <w:rsid w:val="28760CA0"/>
    <w:rsid w:val="287D6EC0"/>
    <w:rsid w:val="287E4DE4"/>
    <w:rsid w:val="288A05DD"/>
    <w:rsid w:val="28937D89"/>
    <w:rsid w:val="28C96C14"/>
    <w:rsid w:val="28CF57EE"/>
    <w:rsid w:val="28D53334"/>
    <w:rsid w:val="28E138E3"/>
    <w:rsid w:val="28E74216"/>
    <w:rsid w:val="28E87EE4"/>
    <w:rsid w:val="2903396A"/>
    <w:rsid w:val="29207566"/>
    <w:rsid w:val="29235EFC"/>
    <w:rsid w:val="292918ED"/>
    <w:rsid w:val="292B6BBE"/>
    <w:rsid w:val="29470364"/>
    <w:rsid w:val="294E766A"/>
    <w:rsid w:val="2978319A"/>
    <w:rsid w:val="2978571B"/>
    <w:rsid w:val="299752B2"/>
    <w:rsid w:val="2998751F"/>
    <w:rsid w:val="29A3014B"/>
    <w:rsid w:val="29A74CBD"/>
    <w:rsid w:val="29AE4BB2"/>
    <w:rsid w:val="29B01C34"/>
    <w:rsid w:val="29B1237D"/>
    <w:rsid w:val="29B16357"/>
    <w:rsid w:val="29B84F82"/>
    <w:rsid w:val="29BA0D88"/>
    <w:rsid w:val="29CF32B2"/>
    <w:rsid w:val="29DE15A2"/>
    <w:rsid w:val="29E66B13"/>
    <w:rsid w:val="29EF3680"/>
    <w:rsid w:val="29EF424E"/>
    <w:rsid w:val="29F15CA1"/>
    <w:rsid w:val="29F62E74"/>
    <w:rsid w:val="29F93F5E"/>
    <w:rsid w:val="29FA7F26"/>
    <w:rsid w:val="29FB3C21"/>
    <w:rsid w:val="2A0C61D3"/>
    <w:rsid w:val="2A0C677E"/>
    <w:rsid w:val="2A1508B6"/>
    <w:rsid w:val="2A2036AC"/>
    <w:rsid w:val="2A35650F"/>
    <w:rsid w:val="2A405845"/>
    <w:rsid w:val="2A4D593F"/>
    <w:rsid w:val="2A535DD5"/>
    <w:rsid w:val="2A560993"/>
    <w:rsid w:val="2A62657E"/>
    <w:rsid w:val="2A6E31F8"/>
    <w:rsid w:val="2A8A2F9C"/>
    <w:rsid w:val="2AAC5A06"/>
    <w:rsid w:val="2ABB3D6F"/>
    <w:rsid w:val="2AC70B30"/>
    <w:rsid w:val="2ACC2AAF"/>
    <w:rsid w:val="2AD74744"/>
    <w:rsid w:val="2AD91AC2"/>
    <w:rsid w:val="2AE57C95"/>
    <w:rsid w:val="2AE752D9"/>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92D68"/>
    <w:rsid w:val="2B7B70BF"/>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7F740B"/>
    <w:rsid w:val="2C8F4862"/>
    <w:rsid w:val="2C950B30"/>
    <w:rsid w:val="2C9E5AC8"/>
    <w:rsid w:val="2CA24294"/>
    <w:rsid w:val="2CA2721B"/>
    <w:rsid w:val="2CB600FC"/>
    <w:rsid w:val="2CD350FE"/>
    <w:rsid w:val="2CE512AC"/>
    <w:rsid w:val="2D026315"/>
    <w:rsid w:val="2D0764BD"/>
    <w:rsid w:val="2D0B3169"/>
    <w:rsid w:val="2D0D4219"/>
    <w:rsid w:val="2D153544"/>
    <w:rsid w:val="2D2B765F"/>
    <w:rsid w:val="2D2D2DE2"/>
    <w:rsid w:val="2D2F12BE"/>
    <w:rsid w:val="2D340E86"/>
    <w:rsid w:val="2D395427"/>
    <w:rsid w:val="2D3D0E02"/>
    <w:rsid w:val="2D5372BC"/>
    <w:rsid w:val="2D5839DB"/>
    <w:rsid w:val="2D62469E"/>
    <w:rsid w:val="2D6B40A9"/>
    <w:rsid w:val="2D703BA1"/>
    <w:rsid w:val="2D8A3FA2"/>
    <w:rsid w:val="2D925F6F"/>
    <w:rsid w:val="2D9767DC"/>
    <w:rsid w:val="2D980DDC"/>
    <w:rsid w:val="2D987372"/>
    <w:rsid w:val="2DCE26BE"/>
    <w:rsid w:val="2DCE5F69"/>
    <w:rsid w:val="2DDD4F0A"/>
    <w:rsid w:val="2DF81E3E"/>
    <w:rsid w:val="2E3239CC"/>
    <w:rsid w:val="2E34792A"/>
    <w:rsid w:val="2E3D32C9"/>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F6D95"/>
    <w:rsid w:val="2EAE350B"/>
    <w:rsid w:val="2EB20A6C"/>
    <w:rsid w:val="2EBB3566"/>
    <w:rsid w:val="2EBC2287"/>
    <w:rsid w:val="2ECA3116"/>
    <w:rsid w:val="2EDD7896"/>
    <w:rsid w:val="2EEA6E65"/>
    <w:rsid w:val="2EEB7305"/>
    <w:rsid w:val="2EED2F50"/>
    <w:rsid w:val="2F00052B"/>
    <w:rsid w:val="2F0367CD"/>
    <w:rsid w:val="2F0378D9"/>
    <w:rsid w:val="2F0766FD"/>
    <w:rsid w:val="2F1251F2"/>
    <w:rsid w:val="2F2B39A9"/>
    <w:rsid w:val="2F4D49C0"/>
    <w:rsid w:val="2F4F6FBB"/>
    <w:rsid w:val="2F59234E"/>
    <w:rsid w:val="2F664E2B"/>
    <w:rsid w:val="2F6C7BE3"/>
    <w:rsid w:val="2F705CA6"/>
    <w:rsid w:val="2F783485"/>
    <w:rsid w:val="2F7F5C0B"/>
    <w:rsid w:val="2FA6492D"/>
    <w:rsid w:val="2FAE4C44"/>
    <w:rsid w:val="2FD71CA4"/>
    <w:rsid w:val="2FF87390"/>
    <w:rsid w:val="2FF93066"/>
    <w:rsid w:val="301103CD"/>
    <w:rsid w:val="301A71CE"/>
    <w:rsid w:val="301E049B"/>
    <w:rsid w:val="3022213E"/>
    <w:rsid w:val="302A4BE6"/>
    <w:rsid w:val="30307691"/>
    <w:rsid w:val="30354EFA"/>
    <w:rsid w:val="304478EC"/>
    <w:rsid w:val="304A314A"/>
    <w:rsid w:val="3062663F"/>
    <w:rsid w:val="307A0518"/>
    <w:rsid w:val="30916BB1"/>
    <w:rsid w:val="30962F3E"/>
    <w:rsid w:val="30AA2585"/>
    <w:rsid w:val="30AD7725"/>
    <w:rsid w:val="30C16A19"/>
    <w:rsid w:val="30D32236"/>
    <w:rsid w:val="30FA7530"/>
    <w:rsid w:val="30FE0648"/>
    <w:rsid w:val="30FF2795"/>
    <w:rsid w:val="310375CD"/>
    <w:rsid w:val="311611B3"/>
    <w:rsid w:val="31177244"/>
    <w:rsid w:val="312623FE"/>
    <w:rsid w:val="313169C2"/>
    <w:rsid w:val="313C313D"/>
    <w:rsid w:val="314E236F"/>
    <w:rsid w:val="315C5288"/>
    <w:rsid w:val="315E0B07"/>
    <w:rsid w:val="31621F46"/>
    <w:rsid w:val="316E7AA7"/>
    <w:rsid w:val="316E7CA0"/>
    <w:rsid w:val="316E7DF0"/>
    <w:rsid w:val="317206BF"/>
    <w:rsid w:val="317932EA"/>
    <w:rsid w:val="317E5000"/>
    <w:rsid w:val="31A723A1"/>
    <w:rsid w:val="31B718F2"/>
    <w:rsid w:val="31B912B2"/>
    <w:rsid w:val="31D20051"/>
    <w:rsid w:val="31E11582"/>
    <w:rsid w:val="31EF7EE8"/>
    <w:rsid w:val="31F459B6"/>
    <w:rsid w:val="3201404F"/>
    <w:rsid w:val="320901F5"/>
    <w:rsid w:val="320B7CCB"/>
    <w:rsid w:val="32105DE8"/>
    <w:rsid w:val="322D553B"/>
    <w:rsid w:val="3235187E"/>
    <w:rsid w:val="3237186B"/>
    <w:rsid w:val="323B6798"/>
    <w:rsid w:val="32454376"/>
    <w:rsid w:val="324A4F10"/>
    <w:rsid w:val="32537B57"/>
    <w:rsid w:val="32567FC0"/>
    <w:rsid w:val="325F618E"/>
    <w:rsid w:val="326B2DFA"/>
    <w:rsid w:val="326D2E9C"/>
    <w:rsid w:val="32757E99"/>
    <w:rsid w:val="32882CBB"/>
    <w:rsid w:val="328E0EF0"/>
    <w:rsid w:val="328F5534"/>
    <w:rsid w:val="329A6ACE"/>
    <w:rsid w:val="32A230DB"/>
    <w:rsid w:val="32A27749"/>
    <w:rsid w:val="32A80A7D"/>
    <w:rsid w:val="32AE4A3C"/>
    <w:rsid w:val="32BA4880"/>
    <w:rsid w:val="32CB6A28"/>
    <w:rsid w:val="32D21971"/>
    <w:rsid w:val="32DF351E"/>
    <w:rsid w:val="32E660DB"/>
    <w:rsid w:val="32EE5E41"/>
    <w:rsid w:val="32F0425F"/>
    <w:rsid w:val="32F40F87"/>
    <w:rsid w:val="32FD7C76"/>
    <w:rsid w:val="330253E5"/>
    <w:rsid w:val="330C22FC"/>
    <w:rsid w:val="33134959"/>
    <w:rsid w:val="33247878"/>
    <w:rsid w:val="33465BE0"/>
    <w:rsid w:val="33540E5D"/>
    <w:rsid w:val="335A0521"/>
    <w:rsid w:val="335E7B11"/>
    <w:rsid w:val="3364318B"/>
    <w:rsid w:val="33691888"/>
    <w:rsid w:val="336A499A"/>
    <w:rsid w:val="336B7B03"/>
    <w:rsid w:val="33714830"/>
    <w:rsid w:val="33737F51"/>
    <w:rsid w:val="337964FF"/>
    <w:rsid w:val="337D34FB"/>
    <w:rsid w:val="337E7E0F"/>
    <w:rsid w:val="33AB157E"/>
    <w:rsid w:val="33AC3853"/>
    <w:rsid w:val="33B6494D"/>
    <w:rsid w:val="33B86AFE"/>
    <w:rsid w:val="33BF4199"/>
    <w:rsid w:val="33EF62BE"/>
    <w:rsid w:val="33FE62E7"/>
    <w:rsid w:val="340D25F6"/>
    <w:rsid w:val="340F5E5C"/>
    <w:rsid w:val="341B3576"/>
    <w:rsid w:val="34226B44"/>
    <w:rsid w:val="342B76C7"/>
    <w:rsid w:val="342C472B"/>
    <w:rsid w:val="34300B2E"/>
    <w:rsid w:val="343A1527"/>
    <w:rsid w:val="34447898"/>
    <w:rsid w:val="344E62FA"/>
    <w:rsid w:val="3472234D"/>
    <w:rsid w:val="347B114D"/>
    <w:rsid w:val="347D500F"/>
    <w:rsid w:val="34830157"/>
    <w:rsid w:val="34872D27"/>
    <w:rsid w:val="349164BD"/>
    <w:rsid w:val="34B32986"/>
    <w:rsid w:val="34BD02AE"/>
    <w:rsid w:val="34C12126"/>
    <w:rsid w:val="34C42E76"/>
    <w:rsid w:val="34C67823"/>
    <w:rsid w:val="34D13A35"/>
    <w:rsid w:val="34DA26A8"/>
    <w:rsid w:val="34E63919"/>
    <w:rsid w:val="34E960F1"/>
    <w:rsid w:val="34EC7A62"/>
    <w:rsid w:val="35033D8D"/>
    <w:rsid w:val="350B42D5"/>
    <w:rsid w:val="350F6258"/>
    <w:rsid w:val="351622C7"/>
    <w:rsid w:val="351A3611"/>
    <w:rsid w:val="351A603C"/>
    <w:rsid w:val="352821F6"/>
    <w:rsid w:val="35387F19"/>
    <w:rsid w:val="3539550B"/>
    <w:rsid w:val="353C7CFC"/>
    <w:rsid w:val="353F422D"/>
    <w:rsid w:val="3560569E"/>
    <w:rsid w:val="356652C5"/>
    <w:rsid w:val="356678B4"/>
    <w:rsid w:val="3573649F"/>
    <w:rsid w:val="357E4B0A"/>
    <w:rsid w:val="35866D7F"/>
    <w:rsid w:val="358F6BDF"/>
    <w:rsid w:val="35925C72"/>
    <w:rsid w:val="35A26D98"/>
    <w:rsid w:val="35AD5109"/>
    <w:rsid w:val="35C0105B"/>
    <w:rsid w:val="35C06D50"/>
    <w:rsid w:val="35C12873"/>
    <w:rsid w:val="35D24294"/>
    <w:rsid w:val="35D85F6C"/>
    <w:rsid w:val="35FC0F9C"/>
    <w:rsid w:val="35FF6F3C"/>
    <w:rsid w:val="360601AF"/>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CB6C73"/>
    <w:rsid w:val="36D25824"/>
    <w:rsid w:val="36D51D00"/>
    <w:rsid w:val="36D66B5E"/>
    <w:rsid w:val="36E93760"/>
    <w:rsid w:val="36FB4305"/>
    <w:rsid w:val="37050325"/>
    <w:rsid w:val="3708597F"/>
    <w:rsid w:val="37096815"/>
    <w:rsid w:val="370F7060"/>
    <w:rsid w:val="37134801"/>
    <w:rsid w:val="37173233"/>
    <w:rsid w:val="371F5FFA"/>
    <w:rsid w:val="37226558"/>
    <w:rsid w:val="3734159D"/>
    <w:rsid w:val="37382526"/>
    <w:rsid w:val="374E78C1"/>
    <w:rsid w:val="3758590A"/>
    <w:rsid w:val="37602E60"/>
    <w:rsid w:val="37783E0C"/>
    <w:rsid w:val="378229A7"/>
    <w:rsid w:val="3784394E"/>
    <w:rsid w:val="3794254E"/>
    <w:rsid w:val="37987437"/>
    <w:rsid w:val="37A21E38"/>
    <w:rsid w:val="37AB3F16"/>
    <w:rsid w:val="37BB1155"/>
    <w:rsid w:val="37C44AA1"/>
    <w:rsid w:val="37C94031"/>
    <w:rsid w:val="37CA042E"/>
    <w:rsid w:val="37CD39DD"/>
    <w:rsid w:val="37D44549"/>
    <w:rsid w:val="37D77B09"/>
    <w:rsid w:val="37D97EDE"/>
    <w:rsid w:val="380D7E8A"/>
    <w:rsid w:val="3810407E"/>
    <w:rsid w:val="382B1BDF"/>
    <w:rsid w:val="382E392C"/>
    <w:rsid w:val="38342E90"/>
    <w:rsid w:val="38445FA0"/>
    <w:rsid w:val="384A24FB"/>
    <w:rsid w:val="384B7332"/>
    <w:rsid w:val="385056AF"/>
    <w:rsid w:val="38706DCB"/>
    <w:rsid w:val="3871779B"/>
    <w:rsid w:val="38764B0E"/>
    <w:rsid w:val="388E5848"/>
    <w:rsid w:val="38A94D18"/>
    <w:rsid w:val="38BD31EE"/>
    <w:rsid w:val="38CB3BDF"/>
    <w:rsid w:val="38D33D29"/>
    <w:rsid w:val="38E04D9C"/>
    <w:rsid w:val="38E40A5B"/>
    <w:rsid w:val="391476F2"/>
    <w:rsid w:val="39227B06"/>
    <w:rsid w:val="39285D57"/>
    <w:rsid w:val="39372A0B"/>
    <w:rsid w:val="394B6470"/>
    <w:rsid w:val="39526430"/>
    <w:rsid w:val="3963745B"/>
    <w:rsid w:val="39790F9D"/>
    <w:rsid w:val="39860592"/>
    <w:rsid w:val="39872512"/>
    <w:rsid w:val="399E5818"/>
    <w:rsid w:val="39A602F9"/>
    <w:rsid w:val="39A611EE"/>
    <w:rsid w:val="39BD45C8"/>
    <w:rsid w:val="39C2316A"/>
    <w:rsid w:val="39D7513A"/>
    <w:rsid w:val="39DB12EF"/>
    <w:rsid w:val="39E50DD5"/>
    <w:rsid w:val="39F36281"/>
    <w:rsid w:val="39F56CC2"/>
    <w:rsid w:val="39FD376D"/>
    <w:rsid w:val="39FD6C9C"/>
    <w:rsid w:val="3A0224B9"/>
    <w:rsid w:val="3A16794C"/>
    <w:rsid w:val="3A226969"/>
    <w:rsid w:val="3A30455A"/>
    <w:rsid w:val="3A371796"/>
    <w:rsid w:val="3A3F47CE"/>
    <w:rsid w:val="3A4E1C5D"/>
    <w:rsid w:val="3A523735"/>
    <w:rsid w:val="3A557AE4"/>
    <w:rsid w:val="3A6577A0"/>
    <w:rsid w:val="3A6B0F84"/>
    <w:rsid w:val="3A727435"/>
    <w:rsid w:val="3A8E5120"/>
    <w:rsid w:val="3A933CAA"/>
    <w:rsid w:val="3A94055A"/>
    <w:rsid w:val="3AC17E3A"/>
    <w:rsid w:val="3ACA453D"/>
    <w:rsid w:val="3ACB5746"/>
    <w:rsid w:val="3ACF067B"/>
    <w:rsid w:val="3AD821AD"/>
    <w:rsid w:val="3ADD2B05"/>
    <w:rsid w:val="3AE417E3"/>
    <w:rsid w:val="3AE440AF"/>
    <w:rsid w:val="3AF7667E"/>
    <w:rsid w:val="3B003F2D"/>
    <w:rsid w:val="3B032215"/>
    <w:rsid w:val="3B0527E0"/>
    <w:rsid w:val="3B10519B"/>
    <w:rsid w:val="3B113F51"/>
    <w:rsid w:val="3B157411"/>
    <w:rsid w:val="3B185809"/>
    <w:rsid w:val="3B204606"/>
    <w:rsid w:val="3B2D1F45"/>
    <w:rsid w:val="3B2F52E3"/>
    <w:rsid w:val="3B307112"/>
    <w:rsid w:val="3B540533"/>
    <w:rsid w:val="3B5570E7"/>
    <w:rsid w:val="3B5A2A22"/>
    <w:rsid w:val="3B632CFB"/>
    <w:rsid w:val="3B6363FD"/>
    <w:rsid w:val="3B7804A3"/>
    <w:rsid w:val="3B8010C0"/>
    <w:rsid w:val="3B817CCD"/>
    <w:rsid w:val="3B8E2153"/>
    <w:rsid w:val="3B94244F"/>
    <w:rsid w:val="3BA03B83"/>
    <w:rsid w:val="3BA073BF"/>
    <w:rsid w:val="3BB20883"/>
    <w:rsid w:val="3BC34E75"/>
    <w:rsid w:val="3BCB270F"/>
    <w:rsid w:val="3BCD7395"/>
    <w:rsid w:val="3BCF7E47"/>
    <w:rsid w:val="3BD96AA6"/>
    <w:rsid w:val="3C0429BF"/>
    <w:rsid w:val="3C0E397E"/>
    <w:rsid w:val="3C197E95"/>
    <w:rsid w:val="3C1A201A"/>
    <w:rsid w:val="3C2B779F"/>
    <w:rsid w:val="3C2D5AC6"/>
    <w:rsid w:val="3C337B9C"/>
    <w:rsid w:val="3C371D4B"/>
    <w:rsid w:val="3C3B4B9D"/>
    <w:rsid w:val="3C413C82"/>
    <w:rsid w:val="3C471C36"/>
    <w:rsid w:val="3C5A6B66"/>
    <w:rsid w:val="3C6B7D5C"/>
    <w:rsid w:val="3C7207B9"/>
    <w:rsid w:val="3C734413"/>
    <w:rsid w:val="3C8556C4"/>
    <w:rsid w:val="3C982C18"/>
    <w:rsid w:val="3CA734F8"/>
    <w:rsid w:val="3CB33F04"/>
    <w:rsid w:val="3CC74223"/>
    <w:rsid w:val="3CC828D0"/>
    <w:rsid w:val="3CDB5F96"/>
    <w:rsid w:val="3CE23F49"/>
    <w:rsid w:val="3CEC39B8"/>
    <w:rsid w:val="3CF720E3"/>
    <w:rsid w:val="3CF72D6A"/>
    <w:rsid w:val="3CF86634"/>
    <w:rsid w:val="3CF86D06"/>
    <w:rsid w:val="3CFB523F"/>
    <w:rsid w:val="3D00620E"/>
    <w:rsid w:val="3D035226"/>
    <w:rsid w:val="3D1A48E2"/>
    <w:rsid w:val="3D316CDB"/>
    <w:rsid w:val="3D327CA5"/>
    <w:rsid w:val="3D3D6BBD"/>
    <w:rsid w:val="3D450F8C"/>
    <w:rsid w:val="3D477118"/>
    <w:rsid w:val="3D594E54"/>
    <w:rsid w:val="3D5F4F3E"/>
    <w:rsid w:val="3D62706F"/>
    <w:rsid w:val="3D6C0CB8"/>
    <w:rsid w:val="3D6E2272"/>
    <w:rsid w:val="3D7C727A"/>
    <w:rsid w:val="3D81786B"/>
    <w:rsid w:val="3D830417"/>
    <w:rsid w:val="3D877AC5"/>
    <w:rsid w:val="3D882D35"/>
    <w:rsid w:val="3D8D2848"/>
    <w:rsid w:val="3D8F4A40"/>
    <w:rsid w:val="3D9000AA"/>
    <w:rsid w:val="3D94235D"/>
    <w:rsid w:val="3D9461E1"/>
    <w:rsid w:val="3DA37748"/>
    <w:rsid w:val="3DA458EB"/>
    <w:rsid w:val="3DB34E86"/>
    <w:rsid w:val="3DDB4033"/>
    <w:rsid w:val="3DE16AEE"/>
    <w:rsid w:val="3DF2476A"/>
    <w:rsid w:val="3DF95812"/>
    <w:rsid w:val="3DFB2413"/>
    <w:rsid w:val="3E0209BD"/>
    <w:rsid w:val="3E1D023C"/>
    <w:rsid w:val="3E1D4B24"/>
    <w:rsid w:val="3E3A04FA"/>
    <w:rsid w:val="3E3D6B96"/>
    <w:rsid w:val="3E441C7D"/>
    <w:rsid w:val="3E490256"/>
    <w:rsid w:val="3E55739E"/>
    <w:rsid w:val="3E6C43C8"/>
    <w:rsid w:val="3E8227F0"/>
    <w:rsid w:val="3E9955B9"/>
    <w:rsid w:val="3E9B4B40"/>
    <w:rsid w:val="3EB71AC8"/>
    <w:rsid w:val="3EBC1199"/>
    <w:rsid w:val="3EC33E74"/>
    <w:rsid w:val="3EC85E34"/>
    <w:rsid w:val="3ECF6099"/>
    <w:rsid w:val="3ED0424C"/>
    <w:rsid w:val="3EF31E7F"/>
    <w:rsid w:val="3EF36DF0"/>
    <w:rsid w:val="3F053EF6"/>
    <w:rsid w:val="3F093188"/>
    <w:rsid w:val="3F173F6B"/>
    <w:rsid w:val="3F1E1DE8"/>
    <w:rsid w:val="3F2519D4"/>
    <w:rsid w:val="3F253B0C"/>
    <w:rsid w:val="3F2C04C4"/>
    <w:rsid w:val="3F3E7C9F"/>
    <w:rsid w:val="3F416B99"/>
    <w:rsid w:val="3F4F5AD7"/>
    <w:rsid w:val="3F5617F6"/>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333762"/>
    <w:rsid w:val="40387BEA"/>
    <w:rsid w:val="403A489D"/>
    <w:rsid w:val="404469FD"/>
    <w:rsid w:val="404A2717"/>
    <w:rsid w:val="404E779F"/>
    <w:rsid w:val="4059090D"/>
    <w:rsid w:val="406277A4"/>
    <w:rsid w:val="4065170A"/>
    <w:rsid w:val="406E5CAB"/>
    <w:rsid w:val="40713C35"/>
    <w:rsid w:val="40745F23"/>
    <w:rsid w:val="407A4F80"/>
    <w:rsid w:val="40830062"/>
    <w:rsid w:val="40836272"/>
    <w:rsid w:val="408376F8"/>
    <w:rsid w:val="40A25054"/>
    <w:rsid w:val="40A325E0"/>
    <w:rsid w:val="40BD0DA1"/>
    <w:rsid w:val="40C93CB0"/>
    <w:rsid w:val="40EC7D18"/>
    <w:rsid w:val="40ED11A0"/>
    <w:rsid w:val="40F12BE9"/>
    <w:rsid w:val="40FD1BF0"/>
    <w:rsid w:val="41096BC0"/>
    <w:rsid w:val="410A75B6"/>
    <w:rsid w:val="410B452A"/>
    <w:rsid w:val="413353F1"/>
    <w:rsid w:val="41380956"/>
    <w:rsid w:val="41466208"/>
    <w:rsid w:val="41513BC9"/>
    <w:rsid w:val="41735B7F"/>
    <w:rsid w:val="41A35744"/>
    <w:rsid w:val="41A65F04"/>
    <w:rsid w:val="41D75714"/>
    <w:rsid w:val="41DD3BC3"/>
    <w:rsid w:val="41EE2F03"/>
    <w:rsid w:val="41F466FD"/>
    <w:rsid w:val="41F80C3F"/>
    <w:rsid w:val="42002BC7"/>
    <w:rsid w:val="42026B03"/>
    <w:rsid w:val="420D197F"/>
    <w:rsid w:val="42187EBE"/>
    <w:rsid w:val="421C3DAC"/>
    <w:rsid w:val="4227435A"/>
    <w:rsid w:val="42303B60"/>
    <w:rsid w:val="42335C97"/>
    <w:rsid w:val="423458DC"/>
    <w:rsid w:val="424B5824"/>
    <w:rsid w:val="42685900"/>
    <w:rsid w:val="426973AD"/>
    <w:rsid w:val="427A67A1"/>
    <w:rsid w:val="427E0B36"/>
    <w:rsid w:val="42874976"/>
    <w:rsid w:val="42884359"/>
    <w:rsid w:val="429D0E20"/>
    <w:rsid w:val="42A03D98"/>
    <w:rsid w:val="42B51497"/>
    <w:rsid w:val="42B94BC1"/>
    <w:rsid w:val="42C30254"/>
    <w:rsid w:val="42C42A08"/>
    <w:rsid w:val="42D064B1"/>
    <w:rsid w:val="42DE48A3"/>
    <w:rsid w:val="42E16058"/>
    <w:rsid w:val="42F17BF5"/>
    <w:rsid w:val="42F25864"/>
    <w:rsid w:val="42F87EC9"/>
    <w:rsid w:val="42FA3C57"/>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4E7AE4"/>
    <w:rsid w:val="445E4DEE"/>
    <w:rsid w:val="44640994"/>
    <w:rsid w:val="446456BB"/>
    <w:rsid w:val="446B0434"/>
    <w:rsid w:val="4474746D"/>
    <w:rsid w:val="44756A66"/>
    <w:rsid w:val="447A5E4A"/>
    <w:rsid w:val="447C30C1"/>
    <w:rsid w:val="447E4EBE"/>
    <w:rsid w:val="447F0CBA"/>
    <w:rsid w:val="44957F46"/>
    <w:rsid w:val="44994CF5"/>
    <w:rsid w:val="44DC46EB"/>
    <w:rsid w:val="44E95F5D"/>
    <w:rsid w:val="44F03F8F"/>
    <w:rsid w:val="44F14ECF"/>
    <w:rsid w:val="44FF3FEC"/>
    <w:rsid w:val="450D31F9"/>
    <w:rsid w:val="45275172"/>
    <w:rsid w:val="452754C3"/>
    <w:rsid w:val="45332511"/>
    <w:rsid w:val="453C48A0"/>
    <w:rsid w:val="45412C46"/>
    <w:rsid w:val="45514AD5"/>
    <w:rsid w:val="4552412E"/>
    <w:rsid w:val="45554550"/>
    <w:rsid w:val="455908C0"/>
    <w:rsid w:val="456149B2"/>
    <w:rsid w:val="45644E09"/>
    <w:rsid w:val="45761EDD"/>
    <w:rsid w:val="45796CCA"/>
    <w:rsid w:val="457A7286"/>
    <w:rsid w:val="457B06AA"/>
    <w:rsid w:val="457C7D39"/>
    <w:rsid w:val="457D5CBC"/>
    <w:rsid w:val="458667C4"/>
    <w:rsid w:val="45883085"/>
    <w:rsid w:val="458F5163"/>
    <w:rsid w:val="459C5A47"/>
    <w:rsid w:val="45A82F38"/>
    <w:rsid w:val="45AC0441"/>
    <w:rsid w:val="45AE5935"/>
    <w:rsid w:val="45B047D1"/>
    <w:rsid w:val="45BE6191"/>
    <w:rsid w:val="45BE648C"/>
    <w:rsid w:val="45CD2126"/>
    <w:rsid w:val="460C5979"/>
    <w:rsid w:val="460F18AE"/>
    <w:rsid w:val="46110AB3"/>
    <w:rsid w:val="46143B66"/>
    <w:rsid w:val="46182FF9"/>
    <w:rsid w:val="46214325"/>
    <w:rsid w:val="463246EC"/>
    <w:rsid w:val="463A3547"/>
    <w:rsid w:val="464E25C4"/>
    <w:rsid w:val="46505236"/>
    <w:rsid w:val="46555DC3"/>
    <w:rsid w:val="46617DB2"/>
    <w:rsid w:val="46621065"/>
    <w:rsid w:val="46665198"/>
    <w:rsid w:val="46697236"/>
    <w:rsid w:val="46770F8B"/>
    <w:rsid w:val="467C16FA"/>
    <w:rsid w:val="46894B18"/>
    <w:rsid w:val="46901CD7"/>
    <w:rsid w:val="469448C6"/>
    <w:rsid w:val="469E3BB1"/>
    <w:rsid w:val="46A232B5"/>
    <w:rsid w:val="46A45391"/>
    <w:rsid w:val="46A80465"/>
    <w:rsid w:val="46B80AF8"/>
    <w:rsid w:val="46D332C1"/>
    <w:rsid w:val="46D37F0B"/>
    <w:rsid w:val="46D71533"/>
    <w:rsid w:val="46E53335"/>
    <w:rsid w:val="47040E98"/>
    <w:rsid w:val="47116C0B"/>
    <w:rsid w:val="47155D89"/>
    <w:rsid w:val="47173D82"/>
    <w:rsid w:val="47253C54"/>
    <w:rsid w:val="473069AF"/>
    <w:rsid w:val="474A0EAF"/>
    <w:rsid w:val="474E50BE"/>
    <w:rsid w:val="47696F9C"/>
    <w:rsid w:val="47725A17"/>
    <w:rsid w:val="4775189D"/>
    <w:rsid w:val="477D3243"/>
    <w:rsid w:val="478821A1"/>
    <w:rsid w:val="478F6FAE"/>
    <w:rsid w:val="479128A9"/>
    <w:rsid w:val="47914FB8"/>
    <w:rsid w:val="47975EDC"/>
    <w:rsid w:val="47983B19"/>
    <w:rsid w:val="47A3609D"/>
    <w:rsid w:val="47C01792"/>
    <w:rsid w:val="47C57A48"/>
    <w:rsid w:val="47C87BF8"/>
    <w:rsid w:val="47D511BD"/>
    <w:rsid w:val="47D52718"/>
    <w:rsid w:val="47FF1754"/>
    <w:rsid w:val="4808150F"/>
    <w:rsid w:val="480F51A8"/>
    <w:rsid w:val="48256B1B"/>
    <w:rsid w:val="48282713"/>
    <w:rsid w:val="484417FA"/>
    <w:rsid w:val="48450ECE"/>
    <w:rsid w:val="484759CD"/>
    <w:rsid w:val="484A10F9"/>
    <w:rsid w:val="484B14EC"/>
    <w:rsid w:val="48607C4D"/>
    <w:rsid w:val="486962FA"/>
    <w:rsid w:val="48713351"/>
    <w:rsid w:val="48802846"/>
    <w:rsid w:val="48850157"/>
    <w:rsid w:val="48AB67D3"/>
    <w:rsid w:val="48B116EA"/>
    <w:rsid w:val="48B74C7A"/>
    <w:rsid w:val="48BB16F8"/>
    <w:rsid w:val="48BE32BF"/>
    <w:rsid w:val="48C354EC"/>
    <w:rsid w:val="48C61E50"/>
    <w:rsid w:val="48CB2583"/>
    <w:rsid w:val="48CC564D"/>
    <w:rsid w:val="48D429DD"/>
    <w:rsid w:val="48DF209C"/>
    <w:rsid w:val="48E01C77"/>
    <w:rsid w:val="48E22285"/>
    <w:rsid w:val="48E50D90"/>
    <w:rsid w:val="48FA15CC"/>
    <w:rsid w:val="49002A7B"/>
    <w:rsid w:val="491B63DF"/>
    <w:rsid w:val="491D63E9"/>
    <w:rsid w:val="49262D36"/>
    <w:rsid w:val="49285E6A"/>
    <w:rsid w:val="492A068A"/>
    <w:rsid w:val="4932285C"/>
    <w:rsid w:val="493E2F78"/>
    <w:rsid w:val="4948613B"/>
    <w:rsid w:val="495217DF"/>
    <w:rsid w:val="4958367A"/>
    <w:rsid w:val="496E52F3"/>
    <w:rsid w:val="497F41A4"/>
    <w:rsid w:val="49814AF9"/>
    <w:rsid w:val="498A16CD"/>
    <w:rsid w:val="49A13EF6"/>
    <w:rsid w:val="49A33C27"/>
    <w:rsid w:val="49A750B5"/>
    <w:rsid w:val="49BE07DA"/>
    <w:rsid w:val="49C84AA0"/>
    <w:rsid w:val="49D7694D"/>
    <w:rsid w:val="49ED2797"/>
    <w:rsid w:val="4A0244D3"/>
    <w:rsid w:val="4A0E4803"/>
    <w:rsid w:val="4A255046"/>
    <w:rsid w:val="4A28799C"/>
    <w:rsid w:val="4A2E1525"/>
    <w:rsid w:val="4A2E4DBF"/>
    <w:rsid w:val="4A4129A8"/>
    <w:rsid w:val="4A451752"/>
    <w:rsid w:val="4A5A756D"/>
    <w:rsid w:val="4A6174B0"/>
    <w:rsid w:val="4A785772"/>
    <w:rsid w:val="4A89105B"/>
    <w:rsid w:val="4AA341CC"/>
    <w:rsid w:val="4AB94963"/>
    <w:rsid w:val="4AC13295"/>
    <w:rsid w:val="4AC31003"/>
    <w:rsid w:val="4AC40F4C"/>
    <w:rsid w:val="4AD25F33"/>
    <w:rsid w:val="4AE072CB"/>
    <w:rsid w:val="4AE1726E"/>
    <w:rsid w:val="4AE93159"/>
    <w:rsid w:val="4AF02EA1"/>
    <w:rsid w:val="4AFC326D"/>
    <w:rsid w:val="4B174032"/>
    <w:rsid w:val="4B250CF8"/>
    <w:rsid w:val="4B37368A"/>
    <w:rsid w:val="4B3E7ACE"/>
    <w:rsid w:val="4B57342A"/>
    <w:rsid w:val="4B7C4100"/>
    <w:rsid w:val="4B830F9B"/>
    <w:rsid w:val="4B9B0C47"/>
    <w:rsid w:val="4B9D4011"/>
    <w:rsid w:val="4BB36BDD"/>
    <w:rsid w:val="4BC32290"/>
    <w:rsid w:val="4BCF2E43"/>
    <w:rsid w:val="4BD0339A"/>
    <w:rsid w:val="4BE90D9B"/>
    <w:rsid w:val="4BF32495"/>
    <w:rsid w:val="4BFA3FA2"/>
    <w:rsid w:val="4C0B00AC"/>
    <w:rsid w:val="4C2A4544"/>
    <w:rsid w:val="4C2B4DDD"/>
    <w:rsid w:val="4C3E7365"/>
    <w:rsid w:val="4C562920"/>
    <w:rsid w:val="4C575207"/>
    <w:rsid w:val="4C5D1F92"/>
    <w:rsid w:val="4C603F16"/>
    <w:rsid w:val="4C6262E0"/>
    <w:rsid w:val="4C6703A3"/>
    <w:rsid w:val="4C6D7518"/>
    <w:rsid w:val="4C743E16"/>
    <w:rsid w:val="4C7950C1"/>
    <w:rsid w:val="4C81419F"/>
    <w:rsid w:val="4C923A72"/>
    <w:rsid w:val="4C9E2807"/>
    <w:rsid w:val="4CB96B0F"/>
    <w:rsid w:val="4CC151FB"/>
    <w:rsid w:val="4CC42739"/>
    <w:rsid w:val="4CD315DD"/>
    <w:rsid w:val="4CD57D1F"/>
    <w:rsid w:val="4CE34E9F"/>
    <w:rsid w:val="4CED698D"/>
    <w:rsid w:val="4CF52D94"/>
    <w:rsid w:val="4D1D3051"/>
    <w:rsid w:val="4D277AC4"/>
    <w:rsid w:val="4D40134C"/>
    <w:rsid w:val="4D43301D"/>
    <w:rsid w:val="4D462159"/>
    <w:rsid w:val="4D5366C7"/>
    <w:rsid w:val="4D566017"/>
    <w:rsid w:val="4D7D3EFB"/>
    <w:rsid w:val="4D83687D"/>
    <w:rsid w:val="4D8B0123"/>
    <w:rsid w:val="4DAF14C5"/>
    <w:rsid w:val="4DB112F5"/>
    <w:rsid w:val="4DB9067A"/>
    <w:rsid w:val="4DC12B9F"/>
    <w:rsid w:val="4DC605B6"/>
    <w:rsid w:val="4DD129F2"/>
    <w:rsid w:val="4DD732D2"/>
    <w:rsid w:val="4DDD4847"/>
    <w:rsid w:val="4DEC0985"/>
    <w:rsid w:val="4E015422"/>
    <w:rsid w:val="4E0538A3"/>
    <w:rsid w:val="4E0B2BF7"/>
    <w:rsid w:val="4E0E6818"/>
    <w:rsid w:val="4E0F3A4E"/>
    <w:rsid w:val="4E27683A"/>
    <w:rsid w:val="4E2A3DC3"/>
    <w:rsid w:val="4E4C50A3"/>
    <w:rsid w:val="4E510698"/>
    <w:rsid w:val="4E576363"/>
    <w:rsid w:val="4E635567"/>
    <w:rsid w:val="4E742982"/>
    <w:rsid w:val="4E83037D"/>
    <w:rsid w:val="4E9C0636"/>
    <w:rsid w:val="4EA30DB6"/>
    <w:rsid w:val="4EA7341F"/>
    <w:rsid w:val="4EBD1E5A"/>
    <w:rsid w:val="4EC50C90"/>
    <w:rsid w:val="4ED107DE"/>
    <w:rsid w:val="4EDB58B2"/>
    <w:rsid w:val="4EE925CE"/>
    <w:rsid w:val="4EEF2E30"/>
    <w:rsid w:val="4EF24828"/>
    <w:rsid w:val="4EFE7F59"/>
    <w:rsid w:val="4F171C50"/>
    <w:rsid w:val="4F252466"/>
    <w:rsid w:val="4F285975"/>
    <w:rsid w:val="4F2A7BF3"/>
    <w:rsid w:val="4F2E2624"/>
    <w:rsid w:val="4F431C53"/>
    <w:rsid w:val="4F4A2FB1"/>
    <w:rsid w:val="4F4B37ED"/>
    <w:rsid w:val="4F4B49E4"/>
    <w:rsid w:val="4F4E1077"/>
    <w:rsid w:val="4F546156"/>
    <w:rsid w:val="4F760F6C"/>
    <w:rsid w:val="4F8172FD"/>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AC011D"/>
    <w:rsid w:val="50AC6DEA"/>
    <w:rsid w:val="50B16618"/>
    <w:rsid w:val="50B57C8E"/>
    <w:rsid w:val="50BB6306"/>
    <w:rsid w:val="50CA0599"/>
    <w:rsid w:val="50D505AE"/>
    <w:rsid w:val="50DB62B4"/>
    <w:rsid w:val="50DD524F"/>
    <w:rsid w:val="50F83FF3"/>
    <w:rsid w:val="50F8688B"/>
    <w:rsid w:val="50FC4E36"/>
    <w:rsid w:val="5105169B"/>
    <w:rsid w:val="51062881"/>
    <w:rsid w:val="510861B3"/>
    <w:rsid w:val="510956BD"/>
    <w:rsid w:val="510C2299"/>
    <w:rsid w:val="51204113"/>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1F4124C"/>
    <w:rsid w:val="52105559"/>
    <w:rsid w:val="52272B85"/>
    <w:rsid w:val="522F1608"/>
    <w:rsid w:val="523E09B5"/>
    <w:rsid w:val="524D3051"/>
    <w:rsid w:val="5257620A"/>
    <w:rsid w:val="525770DA"/>
    <w:rsid w:val="525A1C6E"/>
    <w:rsid w:val="525E17DE"/>
    <w:rsid w:val="52687B2A"/>
    <w:rsid w:val="526E0E82"/>
    <w:rsid w:val="52734F68"/>
    <w:rsid w:val="527901C6"/>
    <w:rsid w:val="52A24532"/>
    <w:rsid w:val="52A45841"/>
    <w:rsid w:val="52AD4DA6"/>
    <w:rsid w:val="52B3363A"/>
    <w:rsid w:val="52C320BF"/>
    <w:rsid w:val="52C4202F"/>
    <w:rsid w:val="52C4763C"/>
    <w:rsid w:val="52DE691D"/>
    <w:rsid w:val="52E04D27"/>
    <w:rsid w:val="52EA4FDF"/>
    <w:rsid w:val="52ED0C96"/>
    <w:rsid w:val="53061721"/>
    <w:rsid w:val="530968C9"/>
    <w:rsid w:val="530C0E6B"/>
    <w:rsid w:val="53123B04"/>
    <w:rsid w:val="531864A6"/>
    <w:rsid w:val="53194965"/>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058C2"/>
    <w:rsid w:val="53F31811"/>
    <w:rsid w:val="53F91A55"/>
    <w:rsid w:val="53FE7128"/>
    <w:rsid w:val="54192B07"/>
    <w:rsid w:val="54247F22"/>
    <w:rsid w:val="542C29CD"/>
    <w:rsid w:val="542F1551"/>
    <w:rsid w:val="54381756"/>
    <w:rsid w:val="54436E59"/>
    <w:rsid w:val="54461483"/>
    <w:rsid w:val="544903BF"/>
    <w:rsid w:val="544A1DDF"/>
    <w:rsid w:val="54596DB5"/>
    <w:rsid w:val="545A1EBF"/>
    <w:rsid w:val="54727478"/>
    <w:rsid w:val="548632AC"/>
    <w:rsid w:val="54B06F11"/>
    <w:rsid w:val="54B56DF4"/>
    <w:rsid w:val="54B93943"/>
    <w:rsid w:val="54BE5578"/>
    <w:rsid w:val="54BF52B5"/>
    <w:rsid w:val="54C10199"/>
    <w:rsid w:val="54D202CA"/>
    <w:rsid w:val="54D54E59"/>
    <w:rsid w:val="54DC7A0E"/>
    <w:rsid w:val="54DD41DB"/>
    <w:rsid w:val="54E43C38"/>
    <w:rsid w:val="54ED3D78"/>
    <w:rsid w:val="54F52BA3"/>
    <w:rsid w:val="54F54E04"/>
    <w:rsid w:val="550B4121"/>
    <w:rsid w:val="550D38AC"/>
    <w:rsid w:val="550D5CFC"/>
    <w:rsid w:val="55197997"/>
    <w:rsid w:val="552A6B56"/>
    <w:rsid w:val="552F46A8"/>
    <w:rsid w:val="55304026"/>
    <w:rsid w:val="5532385A"/>
    <w:rsid w:val="554748F2"/>
    <w:rsid w:val="5549190E"/>
    <w:rsid w:val="554D414C"/>
    <w:rsid w:val="554E7279"/>
    <w:rsid w:val="55594FFB"/>
    <w:rsid w:val="55637CEB"/>
    <w:rsid w:val="55650960"/>
    <w:rsid w:val="55757FB9"/>
    <w:rsid w:val="557D58C1"/>
    <w:rsid w:val="55884237"/>
    <w:rsid w:val="558C7FAA"/>
    <w:rsid w:val="55A25EB7"/>
    <w:rsid w:val="55A82784"/>
    <w:rsid w:val="55A97512"/>
    <w:rsid w:val="55B63FD5"/>
    <w:rsid w:val="55C103D3"/>
    <w:rsid w:val="55C35A76"/>
    <w:rsid w:val="55D02A22"/>
    <w:rsid w:val="55D40743"/>
    <w:rsid w:val="55DD6F2A"/>
    <w:rsid w:val="55E8339E"/>
    <w:rsid w:val="55E95892"/>
    <w:rsid w:val="55F06771"/>
    <w:rsid w:val="55F17CF1"/>
    <w:rsid w:val="560606B7"/>
    <w:rsid w:val="560B1622"/>
    <w:rsid w:val="56106284"/>
    <w:rsid w:val="562C1706"/>
    <w:rsid w:val="5632642A"/>
    <w:rsid w:val="56375B61"/>
    <w:rsid w:val="564944F4"/>
    <w:rsid w:val="564E5820"/>
    <w:rsid w:val="565E6D49"/>
    <w:rsid w:val="56630C00"/>
    <w:rsid w:val="566753C6"/>
    <w:rsid w:val="56695DFF"/>
    <w:rsid w:val="567739D2"/>
    <w:rsid w:val="567B29ED"/>
    <w:rsid w:val="5686536D"/>
    <w:rsid w:val="568B1DB1"/>
    <w:rsid w:val="56902708"/>
    <w:rsid w:val="569D619C"/>
    <w:rsid w:val="56A55214"/>
    <w:rsid w:val="56A566A9"/>
    <w:rsid w:val="56A67978"/>
    <w:rsid w:val="56AC63C5"/>
    <w:rsid w:val="56B61F71"/>
    <w:rsid w:val="56C1700B"/>
    <w:rsid w:val="56D25618"/>
    <w:rsid w:val="56E84A97"/>
    <w:rsid w:val="57011F3E"/>
    <w:rsid w:val="5705646B"/>
    <w:rsid w:val="57060649"/>
    <w:rsid w:val="57154E66"/>
    <w:rsid w:val="57197E55"/>
    <w:rsid w:val="5732705F"/>
    <w:rsid w:val="57351D6F"/>
    <w:rsid w:val="57556ACC"/>
    <w:rsid w:val="576476C1"/>
    <w:rsid w:val="577234E8"/>
    <w:rsid w:val="57792308"/>
    <w:rsid w:val="577B3337"/>
    <w:rsid w:val="577F3438"/>
    <w:rsid w:val="5784516D"/>
    <w:rsid w:val="57936D3D"/>
    <w:rsid w:val="57A33734"/>
    <w:rsid w:val="57AB6ADD"/>
    <w:rsid w:val="57B60DF8"/>
    <w:rsid w:val="57BD72A7"/>
    <w:rsid w:val="57BE5838"/>
    <w:rsid w:val="57C54C7F"/>
    <w:rsid w:val="57FC07D9"/>
    <w:rsid w:val="57FF6992"/>
    <w:rsid w:val="580F1B21"/>
    <w:rsid w:val="58110BD9"/>
    <w:rsid w:val="581B7E79"/>
    <w:rsid w:val="58500F22"/>
    <w:rsid w:val="58587379"/>
    <w:rsid w:val="586D57A3"/>
    <w:rsid w:val="586F2391"/>
    <w:rsid w:val="587917A0"/>
    <w:rsid w:val="587A4288"/>
    <w:rsid w:val="5880052B"/>
    <w:rsid w:val="58802568"/>
    <w:rsid w:val="588B1570"/>
    <w:rsid w:val="588C14D4"/>
    <w:rsid w:val="58AC41AA"/>
    <w:rsid w:val="58AD27D9"/>
    <w:rsid w:val="58B169A2"/>
    <w:rsid w:val="58B9636C"/>
    <w:rsid w:val="58C37133"/>
    <w:rsid w:val="58C93046"/>
    <w:rsid w:val="58D36BCB"/>
    <w:rsid w:val="58E6349C"/>
    <w:rsid w:val="58EC037F"/>
    <w:rsid w:val="58EF63EE"/>
    <w:rsid w:val="590317F0"/>
    <w:rsid w:val="59075000"/>
    <w:rsid w:val="59200EBC"/>
    <w:rsid w:val="593559FD"/>
    <w:rsid w:val="593B1EE8"/>
    <w:rsid w:val="594079B2"/>
    <w:rsid w:val="594A13D7"/>
    <w:rsid w:val="595346FA"/>
    <w:rsid w:val="5987482A"/>
    <w:rsid w:val="599C49A8"/>
    <w:rsid w:val="59A36725"/>
    <w:rsid w:val="59B21BF9"/>
    <w:rsid w:val="59BB4EA3"/>
    <w:rsid w:val="59D13D69"/>
    <w:rsid w:val="59E9525B"/>
    <w:rsid w:val="59FE5B32"/>
    <w:rsid w:val="5A0F7992"/>
    <w:rsid w:val="5A133665"/>
    <w:rsid w:val="5A2E75CA"/>
    <w:rsid w:val="5A3C0F08"/>
    <w:rsid w:val="5A3E5B83"/>
    <w:rsid w:val="5A41687A"/>
    <w:rsid w:val="5A5663A3"/>
    <w:rsid w:val="5A571746"/>
    <w:rsid w:val="5A6253E3"/>
    <w:rsid w:val="5A640E17"/>
    <w:rsid w:val="5A674D2B"/>
    <w:rsid w:val="5A897C95"/>
    <w:rsid w:val="5A8E6670"/>
    <w:rsid w:val="5A912613"/>
    <w:rsid w:val="5A9245E9"/>
    <w:rsid w:val="5A953D41"/>
    <w:rsid w:val="5AA57EDE"/>
    <w:rsid w:val="5AAB0558"/>
    <w:rsid w:val="5AAC6EDC"/>
    <w:rsid w:val="5ABA0544"/>
    <w:rsid w:val="5ABC50F4"/>
    <w:rsid w:val="5ACC4940"/>
    <w:rsid w:val="5AD86A6D"/>
    <w:rsid w:val="5AEC14F6"/>
    <w:rsid w:val="5AEC4B1F"/>
    <w:rsid w:val="5AF124A4"/>
    <w:rsid w:val="5B141085"/>
    <w:rsid w:val="5B28192B"/>
    <w:rsid w:val="5B2E7D32"/>
    <w:rsid w:val="5B3C5103"/>
    <w:rsid w:val="5B460A9E"/>
    <w:rsid w:val="5B486DCE"/>
    <w:rsid w:val="5B5F300B"/>
    <w:rsid w:val="5B66707B"/>
    <w:rsid w:val="5B673066"/>
    <w:rsid w:val="5B785E83"/>
    <w:rsid w:val="5B7C1CD1"/>
    <w:rsid w:val="5B7E72A8"/>
    <w:rsid w:val="5B82056F"/>
    <w:rsid w:val="5B8E0DA3"/>
    <w:rsid w:val="5B9251EF"/>
    <w:rsid w:val="5BAB5BC4"/>
    <w:rsid w:val="5BB20B74"/>
    <w:rsid w:val="5BC17C0C"/>
    <w:rsid w:val="5BC677D8"/>
    <w:rsid w:val="5BD32E77"/>
    <w:rsid w:val="5BE56907"/>
    <w:rsid w:val="5BEB0120"/>
    <w:rsid w:val="5BF420D1"/>
    <w:rsid w:val="5C07178B"/>
    <w:rsid w:val="5C097C4E"/>
    <w:rsid w:val="5C165D7E"/>
    <w:rsid w:val="5C1A3A93"/>
    <w:rsid w:val="5C235386"/>
    <w:rsid w:val="5C3B6CFC"/>
    <w:rsid w:val="5C49647C"/>
    <w:rsid w:val="5C4C2CF4"/>
    <w:rsid w:val="5C5A77B9"/>
    <w:rsid w:val="5C6B1600"/>
    <w:rsid w:val="5C712B6D"/>
    <w:rsid w:val="5C74256C"/>
    <w:rsid w:val="5C7D70D1"/>
    <w:rsid w:val="5C8542A8"/>
    <w:rsid w:val="5C88775A"/>
    <w:rsid w:val="5C975416"/>
    <w:rsid w:val="5CA1479B"/>
    <w:rsid w:val="5CA6294E"/>
    <w:rsid w:val="5CAB7154"/>
    <w:rsid w:val="5CD10E53"/>
    <w:rsid w:val="5CD8648B"/>
    <w:rsid w:val="5CDB2E8C"/>
    <w:rsid w:val="5CDB3358"/>
    <w:rsid w:val="5CE5272C"/>
    <w:rsid w:val="5CED4E0C"/>
    <w:rsid w:val="5CEF1DC1"/>
    <w:rsid w:val="5CF94FAE"/>
    <w:rsid w:val="5D034EE9"/>
    <w:rsid w:val="5D0366E8"/>
    <w:rsid w:val="5D0403A9"/>
    <w:rsid w:val="5D044FED"/>
    <w:rsid w:val="5D0547F4"/>
    <w:rsid w:val="5D0A06B6"/>
    <w:rsid w:val="5D1307E8"/>
    <w:rsid w:val="5D1928CC"/>
    <w:rsid w:val="5D1C3851"/>
    <w:rsid w:val="5D1E40B2"/>
    <w:rsid w:val="5D212A05"/>
    <w:rsid w:val="5D2F4802"/>
    <w:rsid w:val="5D3045D9"/>
    <w:rsid w:val="5D3444E6"/>
    <w:rsid w:val="5D3F0BDF"/>
    <w:rsid w:val="5D5B7098"/>
    <w:rsid w:val="5D634782"/>
    <w:rsid w:val="5D6E1B86"/>
    <w:rsid w:val="5D8A2CFF"/>
    <w:rsid w:val="5D8B3B05"/>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4480E"/>
    <w:rsid w:val="5E85633A"/>
    <w:rsid w:val="5E921A45"/>
    <w:rsid w:val="5E975993"/>
    <w:rsid w:val="5EAE61E6"/>
    <w:rsid w:val="5EB51FDE"/>
    <w:rsid w:val="5EBA4472"/>
    <w:rsid w:val="5ECA3D37"/>
    <w:rsid w:val="5EE153F8"/>
    <w:rsid w:val="5EED7893"/>
    <w:rsid w:val="5F0804FE"/>
    <w:rsid w:val="5F0A3A61"/>
    <w:rsid w:val="5F0C3F9E"/>
    <w:rsid w:val="5F4F1B95"/>
    <w:rsid w:val="5F683B6E"/>
    <w:rsid w:val="5F734541"/>
    <w:rsid w:val="5F875C0C"/>
    <w:rsid w:val="5F8F0B9E"/>
    <w:rsid w:val="5F8F267A"/>
    <w:rsid w:val="5F9271B7"/>
    <w:rsid w:val="5FB94C48"/>
    <w:rsid w:val="5FE55B1B"/>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37223"/>
    <w:rsid w:val="60470CE3"/>
    <w:rsid w:val="60673C40"/>
    <w:rsid w:val="606A52D4"/>
    <w:rsid w:val="6072134A"/>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166082"/>
    <w:rsid w:val="61274F24"/>
    <w:rsid w:val="61421EFD"/>
    <w:rsid w:val="61564B4F"/>
    <w:rsid w:val="615C5041"/>
    <w:rsid w:val="61613111"/>
    <w:rsid w:val="61635733"/>
    <w:rsid w:val="61705965"/>
    <w:rsid w:val="6182260C"/>
    <w:rsid w:val="61AF6CF3"/>
    <w:rsid w:val="61D43A2B"/>
    <w:rsid w:val="61FF316E"/>
    <w:rsid w:val="620D1D12"/>
    <w:rsid w:val="620F4BAD"/>
    <w:rsid w:val="621542CB"/>
    <w:rsid w:val="62175DCD"/>
    <w:rsid w:val="62383C38"/>
    <w:rsid w:val="624263A2"/>
    <w:rsid w:val="624E028B"/>
    <w:rsid w:val="625272C3"/>
    <w:rsid w:val="626A48D3"/>
    <w:rsid w:val="62715337"/>
    <w:rsid w:val="6280204D"/>
    <w:rsid w:val="62817F80"/>
    <w:rsid w:val="629022FB"/>
    <w:rsid w:val="6290769B"/>
    <w:rsid w:val="62943D08"/>
    <w:rsid w:val="62A411F8"/>
    <w:rsid w:val="62BA7A46"/>
    <w:rsid w:val="62C376AC"/>
    <w:rsid w:val="62CE13CB"/>
    <w:rsid w:val="62D2197B"/>
    <w:rsid w:val="62DE7A88"/>
    <w:rsid w:val="62F6011A"/>
    <w:rsid w:val="632170C2"/>
    <w:rsid w:val="6327422B"/>
    <w:rsid w:val="633A6942"/>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1F338B"/>
    <w:rsid w:val="64214E44"/>
    <w:rsid w:val="64264A79"/>
    <w:rsid w:val="64304E58"/>
    <w:rsid w:val="64311867"/>
    <w:rsid w:val="64371EC0"/>
    <w:rsid w:val="64391ED3"/>
    <w:rsid w:val="643D7BE0"/>
    <w:rsid w:val="6445632E"/>
    <w:rsid w:val="646A0BCA"/>
    <w:rsid w:val="64746F5B"/>
    <w:rsid w:val="64766F57"/>
    <w:rsid w:val="647D57FA"/>
    <w:rsid w:val="64856993"/>
    <w:rsid w:val="648939AA"/>
    <w:rsid w:val="649B1AC2"/>
    <w:rsid w:val="64A7467B"/>
    <w:rsid w:val="64C86505"/>
    <w:rsid w:val="64FE700F"/>
    <w:rsid w:val="6500327F"/>
    <w:rsid w:val="6506609B"/>
    <w:rsid w:val="65083216"/>
    <w:rsid w:val="650E3D55"/>
    <w:rsid w:val="653A5EE7"/>
    <w:rsid w:val="65437D2D"/>
    <w:rsid w:val="65460728"/>
    <w:rsid w:val="654C2F43"/>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564EF2"/>
    <w:rsid w:val="665654C1"/>
    <w:rsid w:val="665B55EA"/>
    <w:rsid w:val="66655F85"/>
    <w:rsid w:val="66697B98"/>
    <w:rsid w:val="667C7AEC"/>
    <w:rsid w:val="66920EDD"/>
    <w:rsid w:val="66984358"/>
    <w:rsid w:val="669B59E7"/>
    <w:rsid w:val="669B7C76"/>
    <w:rsid w:val="66A200F8"/>
    <w:rsid w:val="66A30EC2"/>
    <w:rsid w:val="66A45B16"/>
    <w:rsid w:val="66AA4BA8"/>
    <w:rsid w:val="66C86E79"/>
    <w:rsid w:val="66C955BD"/>
    <w:rsid w:val="66DC317D"/>
    <w:rsid w:val="66EB4314"/>
    <w:rsid w:val="670C6D27"/>
    <w:rsid w:val="670D67CE"/>
    <w:rsid w:val="67105BAB"/>
    <w:rsid w:val="6717041F"/>
    <w:rsid w:val="671B1631"/>
    <w:rsid w:val="67302DC3"/>
    <w:rsid w:val="674318B2"/>
    <w:rsid w:val="6746062E"/>
    <w:rsid w:val="67482028"/>
    <w:rsid w:val="674D4B22"/>
    <w:rsid w:val="67545FB3"/>
    <w:rsid w:val="67570422"/>
    <w:rsid w:val="675D31B4"/>
    <w:rsid w:val="676D2F4B"/>
    <w:rsid w:val="677261FD"/>
    <w:rsid w:val="677A266A"/>
    <w:rsid w:val="677C1A81"/>
    <w:rsid w:val="678B74EE"/>
    <w:rsid w:val="67AA1080"/>
    <w:rsid w:val="67B163D1"/>
    <w:rsid w:val="67E1247B"/>
    <w:rsid w:val="67F45538"/>
    <w:rsid w:val="680239EB"/>
    <w:rsid w:val="680722DA"/>
    <w:rsid w:val="682211D1"/>
    <w:rsid w:val="682B10A0"/>
    <w:rsid w:val="68301C4F"/>
    <w:rsid w:val="683E0616"/>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2410C"/>
    <w:rsid w:val="69280874"/>
    <w:rsid w:val="694C5FA5"/>
    <w:rsid w:val="695D6B21"/>
    <w:rsid w:val="69611EE7"/>
    <w:rsid w:val="696C708E"/>
    <w:rsid w:val="696F4D5D"/>
    <w:rsid w:val="69850854"/>
    <w:rsid w:val="69850877"/>
    <w:rsid w:val="698C13C5"/>
    <w:rsid w:val="69AE1F57"/>
    <w:rsid w:val="69D82508"/>
    <w:rsid w:val="69EE7649"/>
    <w:rsid w:val="69F0745A"/>
    <w:rsid w:val="6A093E3B"/>
    <w:rsid w:val="6A1D59EC"/>
    <w:rsid w:val="6A247F72"/>
    <w:rsid w:val="6A3E2393"/>
    <w:rsid w:val="6A435B92"/>
    <w:rsid w:val="6A444DB8"/>
    <w:rsid w:val="6A4D4828"/>
    <w:rsid w:val="6A516AC3"/>
    <w:rsid w:val="6A5303BA"/>
    <w:rsid w:val="6A677080"/>
    <w:rsid w:val="6A687125"/>
    <w:rsid w:val="6A6B4F3D"/>
    <w:rsid w:val="6A711183"/>
    <w:rsid w:val="6A762B91"/>
    <w:rsid w:val="6A7B4B9C"/>
    <w:rsid w:val="6A846AE1"/>
    <w:rsid w:val="6A8D03FC"/>
    <w:rsid w:val="6A973A89"/>
    <w:rsid w:val="6AA14A8E"/>
    <w:rsid w:val="6AA516B2"/>
    <w:rsid w:val="6AAF014C"/>
    <w:rsid w:val="6ACA169B"/>
    <w:rsid w:val="6ACB082B"/>
    <w:rsid w:val="6AD3247E"/>
    <w:rsid w:val="6AD52241"/>
    <w:rsid w:val="6AE12DE8"/>
    <w:rsid w:val="6AEB36F7"/>
    <w:rsid w:val="6AF4047B"/>
    <w:rsid w:val="6AF805EA"/>
    <w:rsid w:val="6B1D68BE"/>
    <w:rsid w:val="6B1F2868"/>
    <w:rsid w:val="6B2B0EFD"/>
    <w:rsid w:val="6B2C13E4"/>
    <w:rsid w:val="6B4B0A4C"/>
    <w:rsid w:val="6B50310B"/>
    <w:rsid w:val="6B5045E2"/>
    <w:rsid w:val="6B736A2E"/>
    <w:rsid w:val="6B746FC5"/>
    <w:rsid w:val="6B8170D6"/>
    <w:rsid w:val="6B884219"/>
    <w:rsid w:val="6B90781F"/>
    <w:rsid w:val="6B974370"/>
    <w:rsid w:val="6B9C76AD"/>
    <w:rsid w:val="6BA9194F"/>
    <w:rsid w:val="6BAC41DA"/>
    <w:rsid w:val="6BE66E12"/>
    <w:rsid w:val="6BE727F5"/>
    <w:rsid w:val="6BF36ABE"/>
    <w:rsid w:val="6C240DF3"/>
    <w:rsid w:val="6C2E6123"/>
    <w:rsid w:val="6C45610F"/>
    <w:rsid w:val="6C547243"/>
    <w:rsid w:val="6C59472D"/>
    <w:rsid w:val="6C5A4564"/>
    <w:rsid w:val="6C603744"/>
    <w:rsid w:val="6C637CCF"/>
    <w:rsid w:val="6C646F5A"/>
    <w:rsid w:val="6C7802EB"/>
    <w:rsid w:val="6C79488C"/>
    <w:rsid w:val="6C86130C"/>
    <w:rsid w:val="6C89456C"/>
    <w:rsid w:val="6CA20D5B"/>
    <w:rsid w:val="6CA41AC3"/>
    <w:rsid w:val="6CC14E69"/>
    <w:rsid w:val="6CC46C99"/>
    <w:rsid w:val="6CD63FB3"/>
    <w:rsid w:val="6D056EA6"/>
    <w:rsid w:val="6D221E52"/>
    <w:rsid w:val="6D227835"/>
    <w:rsid w:val="6D24429C"/>
    <w:rsid w:val="6D3C6626"/>
    <w:rsid w:val="6D5D0DB5"/>
    <w:rsid w:val="6D6855B1"/>
    <w:rsid w:val="6D7B12C8"/>
    <w:rsid w:val="6D7B4AB7"/>
    <w:rsid w:val="6D7C5FAF"/>
    <w:rsid w:val="6D880A34"/>
    <w:rsid w:val="6D89784B"/>
    <w:rsid w:val="6D8E70A1"/>
    <w:rsid w:val="6D9A4E14"/>
    <w:rsid w:val="6D9E0566"/>
    <w:rsid w:val="6DBB0D0A"/>
    <w:rsid w:val="6DE525D1"/>
    <w:rsid w:val="6DF43BD4"/>
    <w:rsid w:val="6E0E1FAB"/>
    <w:rsid w:val="6E2143FB"/>
    <w:rsid w:val="6E265C01"/>
    <w:rsid w:val="6E317378"/>
    <w:rsid w:val="6E3C00E0"/>
    <w:rsid w:val="6E4215C6"/>
    <w:rsid w:val="6E4B0158"/>
    <w:rsid w:val="6E4D611F"/>
    <w:rsid w:val="6E5413AD"/>
    <w:rsid w:val="6E567C9E"/>
    <w:rsid w:val="6E5F14A0"/>
    <w:rsid w:val="6E635028"/>
    <w:rsid w:val="6E636A71"/>
    <w:rsid w:val="6E685B0A"/>
    <w:rsid w:val="6E695F11"/>
    <w:rsid w:val="6E73404A"/>
    <w:rsid w:val="6E7355AA"/>
    <w:rsid w:val="6E8C55BB"/>
    <w:rsid w:val="6E920B5B"/>
    <w:rsid w:val="6E9773A0"/>
    <w:rsid w:val="6E990B16"/>
    <w:rsid w:val="6EB169D3"/>
    <w:rsid w:val="6EB73361"/>
    <w:rsid w:val="6EB829B1"/>
    <w:rsid w:val="6EB978A9"/>
    <w:rsid w:val="6EBB6983"/>
    <w:rsid w:val="6ECC3A24"/>
    <w:rsid w:val="6ED86D3E"/>
    <w:rsid w:val="6EE9744F"/>
    <w:rsid w:val="6EEC3F7C"/>
    <w:rsid w:val="6EFA7855"/>
    <w:rsid w:val="6EFE1485"/>
    <w:rsid w:val="6F031F8E"/>
    <w:rsid w:val="6F0D382C"/>
    <w:rsid w:val="6F225951"/>
    <w:rsid w:val="6F234FBA"/>
    <w:rsid w:val="6F2632E8"/>
    <w:rsid w:val="6F30363A"/>
    <w:rsid w:val="6F3316E5"/>
    <w:rsid w:val="6F3F365F"/>
    <w:rsid w:val="6F3F40F9"/>
    <w:rsid w:val="6F5E436B"/>
    <w:rsid w:val="6F6F14E1"/>
    <w:rsid w:val="6F7A62F8"/>
    <w:rsid w:val="6F842B01"/>
    <w:rsid w:val="6F975588"/>
    <w:rsid w:val="6FA629D4"/>
    <w:rsid w:val="6FA6727C"/>
    <w:rsid w:val="6FA75ADB"/>
    <w:rsid w:val="6FAF79BF"/>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839B7"/>
    <w:rsid w:val="702B6F43"/>
    <w:rsid w:val="702F2998"/>
    <w:rsid w:val="7032079E"/>
    <w:rsid w:val="703C186A"/>
    <w:rsid w:val="70570007"/>
    <w:rsid w:val="70645DE9"/>
    <w:rsid w:val="70822BAD"/>
    <w:rsid w:val="708746BC"/>
    <w:rsid w:val="70897D19"/>
    <w:rsid w:val="708F7F54"/>
    <w:rsid w:val="709A7339"/>
    <w:rsid w:val="709E3D85"/>
    <w:rsid w:val="70AC660B"/>
    <w:rsid w:val="70B17138"/>
    <w:rsid w:val="70BB2EF0"/>
    <w:rsid w:val="70BC2801"/>
    <w:rsid w:val="70C34A90"/>
    <w:rsid w:val="70C6646C"/>
    <w:rsid w:val="70FC2D1E"/>
    <w:rsid w:val="71015D6B"/>
    <w:rsid w:val="710651FB"/>
    <w:rsid w:val="71124721"/>
    <w:rsid w:val="71151975"/>
    <w:rsid w:val="71223933"/>
    <w:rsid w:val="71336A65"/>
    <w:rsid w:val="713B0E5B"/>
    <w:rsid w:val="71486F62"/>
    <w:rsid w:val="71511268"/>
    <w:rsid w:val="71545B37"/>
    <w:rsid w:val="71573E01"/>
    <w:rsid w:val="71620B3A"/>
    <w:rsid w:val="71702748"/>
    <w:rsid w:val="717F0007"/>
    <w:rsid w:val="71867894"/>
    <w:rsid w:val="719F7A78"/>
    <w:rsid w:val="71C7540C"/>
    <w:rsid w:val="71C859E3"/>
    <w:rsid w:val="71CB1BB9"/>
    <w:rsid w:val="71D338EC"/>
    <w:rsid w:val="71F54B5B"/>
    <w:rsid w:val="71F64A63"/>
    <w:rsid w:val="71F870B8"/>
    <w:rsid w:val="72021233"/>
    <w:rsid w:val="720A5AC6"/>
    <w:rsid w:val="720B2A1D"/>
    <w:rsid w:val="72174817"/>
    <w:rsid w:val="721A3F70"/>
    <w:rsid w:val="7240003C"/>
    <w:rsid w:val="727C422C"/>
    <w:rsid w:val="728F0124"/>
    <w:rsid w:val="7292045A"/>
    <w:rsid w:val="72974DBE"/>
    <w:rsid w:val="729E19CA"/>
    <w:rsid w:val="72A20C20"/>
    <w:rsid w:val="72AC5E95"/>
    <w:rsid w:val="72C13ED7"/>
    <w:rsid w:val="72C82804"/>
    <w:rsid w:val="72CC3276"/>
    <w:rsid w:val="72CF1AC7"/>
    <w:rsid w:val="72E42AFA"/>
    <w:rsid w:val="72E85578"/>
    <w:rsid w:val="72EB270B"/>
    <w:rsid w:val="72EB4466"/>
    <w:rsid w:val="72FB1EA7"/>
    <w:rsid w:val="72FD426E"/>
    <w:rsid w:val="73004315"/>
    <w:rsid w:val="73043CFC"/>
    <w:rsid w:val="73161882"/>
    <w:rsid w:val="7328617A"/>
    <w:rsid w:val="732C334F"/>
    <w:rsid w:val="73417F8E"/>
    <w:rsid w:val="734F0C79"/>
    <w:rsid w:val="734F4185"/>
    <w:rsid w:val="73520620"/>
    <w:rsid w:val="7363274A"/>
    <w:rsid w:val="73691A4A"/>
    <w:rsid w:val="737807F3"/>
    <w:rsid w:val="738A6895"/>
    <w:rsid w:val="738E71A4"/>
    <w:rsid w:val="739C786E"/>
    <w:rsid w:val="73AE569E"/>
    <w:rsid w:val="73B4197F"/>
    <w:rsid w:val="73BC7089"/>
    <w:rsid w:val="73BE7067"/>
    <w:rsid w:val="73E52294"/>
    <w:rsid w:val="73F310C6"/>
    <w:rsid w:val="73FF2D64"/>
    <w:rsid w:val="740B01C3"/>
    <w:rsid w:val="74137154"/>
    <w:rsid w:val="74236DD6"/>
    <w:rsid w:val="74257F79"/>
    <w:rsid w:val="74273820"/>
    <w:rsid w:val="7427471C"/>
    <w:rsid w:val="742E3A0F"/>
    <w:rsid w:val="743060BC"/>
    <w:rsid w:val="74355B0B"/>
    <w:rsid w:val="743C7157"/>
    <w:rsid w:val="74416F54"/>
    <w:rsid w:val="744765D2"/>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4B1290"/>
    <w:rsid w:val="75707339"/>
    <w:rsid w:val="75752B04"/>
    <w:rsid w:val="75783839"/>
    <w:rsid w:val="758910BB"/>
    <w:rsid w:val="759558DF"/>
    <w:rsid w:val="75955DA9"/>
    <w:rsid w:val="75977910"/>
    <w:rsid w:val="759F2A35"/>
    <w:rsid w:val="75B00123"/>
    <w:rsid w:val="75B15C41"/>
    <w:rsid w:val="75CD3EFF"/>
    <w:rsid w:val="75D12923"/>
    <w:rsid w:val="75D93536"/>
    <w:rsid w:val="75DB49D8"/>
    <w:rsid w:val="75EA364B"/>
    <w:rsid w:val="75F20996"/>
    <w:rsid w:val="75F96973"/>
    <w:rsid w:val="76051D74"/>
    <w:rsid w:val="76123E1D"/>
    <w:rsid w:val="762A17C0"/>
    <w:rsid w:val="76425118"/>
    <w:rsid w:val="764838B9"/>
    <w:rsid w:val="764B15DA"/>
    <w:rsid w:val="764C09B4"/>
    <w:rsid w:val="764F5A52"/>
    <w:rsid w:val="764F6981"/>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0922D8"/>
    <w:rsid w:val="77104401"/>
    <w:rsid w:val="771826D3"/>
    <w:rsid w:val="771B67DF"/>
    <w:rsid w:val="77451578"/>
    <w:rsid w:val="77552EF5"/>
    <w:rsid w:val="77692EA3"/>
    <w:rsid w:val="776C16FD"/>
    <w:rsid w:val="77806994"/>
    <w:rsid w:val="77825248"/>
    <w:rsid w:val="7785098B"/>
    <w:rsid w:val="77870D91"/>
    <w:rsid w:val="778A3229"/>
    <w:rsid w:val="779258CC"/>
    <w:rsid w:val="7794068F"/>
    <w:rsid w:val="77960EFC"/>
    <w:rsid w:val="77975AFC"/>
    <w:rsid w:val="779A096B"/>
    <w:rsid w:val="779B52FF"/>
    <w:rsid w:val="77A00E75"/>
    <w:rsid w:val="77A80D17"/>
    <w:rsid w:val="77A9707E"/>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B31DCA"/>
    <w:rsid w:val="78B96895"/>
    <w:rsid w:val="78C53485"/>
    <w:rsid w:val="78C7038D"/>
    <w:rsid w:val="78C76A01"/>
    <w:rsid w:val="78CE058C"/>
    <w:rsid w:val="78EC45D8"/>
    <w:rsid w:val="78EC6DF0"/>
    <w:rsid w:val="78F5335B"/>
    <w:rsid w:val="7915309D"/>
    <w:rsid w:val="791843E7"/>
    <w:rsid w:val="791B1578"/>
    <w:rsid w:val="79272A8A"/>
    <w:rsid w:val="792730E6"/>
    <w:rsid w:val="79395A92"/>
    <w:rsid w:val="794008FB"/>
    <w:rsid w:val="794708D9"/>
    <w:rsid w:val="794B21A1"/>
    <w:rsid w:val="795D4CA8"/>
    <w:rsid w:val="7964574A"/>
    <w:rsid w:val="79941CF2"/>
    <w:rsid w:val="79973382"/>
    <w:rsid w:val="7999518A"/>
    <w:rsid w:val="79BE31CC"/>
    <w:rsid w:val="79CC3C1F"/>
    <w:rsid w:val="79D33056"/>
    <w:rsid w:val="79D82BB5"/>
    <w:rsid w:val="79E931C2"/>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B489D"/>
    <w:rsid w:val="7ADC0950"/>
    <w:rsid w:val="7ADC0B33"/>
    <w:rsid w:val="7ADE6462"/>
    <w:rsid w:val="7AE14C19"/>
    <w:rsid w:val="7AEA174E"/>
    <w:rsid w:val="7AF013D3"/>
    <w:rsid w:val="7B274176"/>
    <w:rsid w:val="7B2B3677"/>
    <w:rsid w:val="7B356407"/>
    <w:rsid w:val="7B376A22"/>
    <w:rsid w:val="7B401C79"/>
    <w:rsid w:val="7B440ED6"/>
    <w:rsid w:val="7B4678D7"/>
    <w:rsid w:val="7B4B2A93"/>
    <w:rsid w:val="7B527515"/>
    <w:rsid w:val="7B5370E4"/>
    <w:rsid w:val="7B5922B3"/>
    <w:rsid w:val="7B890A24"/>
    <w:rsid w:val="7B8F1752"/>
    <w:rsid w:val="7BA47616"/>
    <w:rsid w:val="7BAA485C"/>
    <w:rsid w:val="7BAD1591"/>
    <w:rsid w:val="7BAF117E"/>
    <w:rsid w:val="7BB31662"/>
    <w:rsid w:val="7BB37B52"/>
    <w:rsid w:val="7BB83E6C"/>
    <w:rsid w:val="7BC779D9"/>
    <w:rsid w:val="7BD3716B"/>
    <w:rsid w:val="7BEC2711"/>
    <w:rsid w:val="7BF55850"/>
    <w:rsid w:val="7C1054B7"/>
    <w:rsid w:val="7C143FB0"/>
    <w:rsid w:val="7C1E3C2F"/>
    <w:rsid w:val="7C26369C"/>
    <w:rsid w:val="7C2A465C"/>
    <w:rsid w:val="7C305879"/>
    <w:rsid w:val="7C34521A"/>
    <w:rsid w:val="7C4A2BD1"/>
    <w:rsid w:val="7C576C70"/>
    <w:rsid w:val="7C6D7F45"/>
    <w:rsid w:val="7C77043F"/>
    <w:rsid w:val="7C8A7CDC"/>
    <w:rsid w:val="7C924172"/>
    <w:rsid w:val="7C9E5A24"/>
    <w:rsid w:val="7CAB7A96"/>
    <w:rsid w:val="7CB4006B"/>
    <w:rsid w:val="7CB92AA1"/>
    <w:rsid w:val="7CB93ABB"/>
    <w:rsid w:val="7CB9570E"/>
    <w:rsid w:val="7CCF6FA5"/>
    <w:rsid w:val="7CE656F0"/>
    <w:rsid w:val="7CED34FF"/>
    <w:rsid w:val="7CEE5458"/>
    <w:rsid w:val="7CF26588"/>
    <w:rsid w:val="7CF565D7"/>
    <w:rsid w:val="7CFA3A46"/>
    <w:rsid w:val="7D0B2971"/>
    <w:rsid w:val="7D0F5720"/>
    <w:rsid w:val="7D1B064F"/>
    <w:rsid w:val="7D2E198F"/>
    <w:rsid w:val="7D3B3737"/>
    <w:rsid w:val="7D3D73AF"/>
    <w:rsid w:val="7D5B27C9"/>
    <w:rsid w:val="7D62117D"/>
    <w:rsid w:val="7D794101"/>
    <w:rsid w:val="7D834A16"/>
    <w:rsid w:val="7D9D438F"/>
    <w:rsid w:val="7DA514D2"/>
    <w:rsid w:val="7DAF10E6"/>
    <w:rsid w:val="7DBE1B45"/>
    <w:rsid w:val="7DC03698"/>
    <w:rsid w:val="7DCB394B"/>
    <w:rsid w:val="7DCD4EB5"/>
    <w:rsid w:val="7E090313"/>
    <w:rsid w:val="7E150FA6"/>
    <w:rsid w:val="7E325778"/>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A3401"/>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B2248"/>
    <w:rsid w:val="7F7D7A8E"/>
    <w:rsid w:val="7F872588"/>
    <w:rsid w:val="7F8725BA"/>
    <w:rsid w:val="7F8C6A8F"/>
    <w:rsid w:val="7F9C175D"/>
    <w:rsid w:val="7FA85877"/>
    <w:rsid w:val="7FAE4683"/>
    <w:rsid w:val="7FDC52B9"/>
    <w:rsid w:val="7FE004A5"/>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 w:type="character" w:customStyle="1" w:styleId="77">
    <w:name w:val="ui-provider"/>
    <w:basedOn w:val="24"/>
    <w:qFormat/>
    <w:uiPriority w:val="0"/>
  </w:style>
  <w:style w:type="character" w:customStyle="1" w:styleId="78">
    <w:name w:val="katex-mathml"/>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11</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2025-02-07T11:24:32Z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